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B2556" w14:textId="77777777" w:rsidR="00F615E3" w:rsidRPr="001B192E" w:rsidRDefault="003C2DC1" w:rsidP="00F615E3">
      <w:pPr>
        <w:pStyle w:val="Otsikko"/>
        <w:rPr>
          <w:sz w:val="44"/>
        </w:rPr>
      </w:pPr>
      <w:r w:rsidRPr="001B192E">
        <w:rPr>
          <w:sz w:val="44"/>
        </w:rPr>
        <w:t>Tarjouspyyntöesimerkki 2.2 – Rajoitettu menettely EU-kynnysarvon ylittävässä hankinnassa</w:t>
      </w:r>
    </w:p>
    <w:p w14:paraId="55441E6C" w14:textId="77777777" w:rsidR="001B192E" w:rsidRPr="001B192E" w:rsidRDefault="001B192E" w:rsidP="001B192E">
      <w:pPr>
        <w:pStyle w:val="Otsikko"/>
        <w:rPr>
          <w:sz w:val="28"/>
        </w:rPr>
      </w:pPr>
      <w:r w:rsidRPr="001B192E">
        <w:rPr>
          <w:sz w:val="28"/>
        </w:rPr>
        <w:t>Puurakenteisen liikuntahallin pää- ja arkkitehtisuunnittelu</w:t>
      </w:r>
    </w:p>
    <w:p w14:paraId="314FE855" w14:textId="5103F99C" w:rsidR="00F615E3" w:rsidRDefault="009A0C2D" w:rsidP="009A0C2D">
      <w:pPr>
        <w:pStyle w:val="Ingressi"/>
      </w:pPr>
      <w:r w:rsidRPr="00C067EE">
        <w:t xml:space="preserve">Tämä tarjouspyyntöesimerkki on kuvassa 1 esitetyn RT-ohjekorttisarjan kortin 2.2 käyttöä tukeva linkitetty dokumentti. </w:t>
      </w:r>
      <w:r w:rsidR="000F59A8" w:rsidRPr="00C067EE">
        <w:t>Tässä liitteillä täydennettävän tarjouspyyntökirjeen mallissa</w:t>
      </w:r>
      <w:r w:rsidRPr="00C067EE">
        <w:t xml:space="preserve"> on esimerkkinä puurakenteisen liikuntahallin pää- ja arkkitehtisuunnittelu. Tarjouspyyntömalli yhdessä tarvittavien liiteasiakirjojen kanssa täyttää hankintalaissa tarjouspyynnölle määritellyt sisältövaatimukset. Osa tarjouspyynnössä esitettävistä tiedoista tulee esittää myös hankintailmoituksessa tai mahdollisissa lain mukaisissa asiakirjoissa ja tarjouspyynnön liitteissä. Eri tietojen esittämistä koskevat vaatimukset on kuvattu RT-ohjekorttisarjan tason 2 menettelykohtaisissa korteissa hankintamenettelyittäin</w:t>
      </w:r>
      <w:r w:rsidR="002776A4" w:rsidRPr="00C067EE">
        <w:t>.</w:t>
      </w:r>
    </w:p>
    <w:p w14:paraId="208BC64B" w14:textId="6B86B066" w:rsidR="000504C5" w:rsidRDefault="000504C5" w:rsidP="000504C5">
      <w:pPr>
        <w:pStyle w:val="Ingressi"/>
        <w:shd w:val="clear" w:color="auto" w:fill="E7E6E6" w:themeFill="background2"/>
        <w:spacing w:after="0" w:line="276" w:lineRule="auto"/>
      </w:pPr>
      <w:r>
        <w:t>Tässä tarjouspyyntöesimerkissä käytetään seuraavia tekstityylejä:</w:t>
      </w:r>
    </w:p>
    <w:p w14:paraId="292A2A33" w14:textId="00864F76" w:rsidR="000504C5" w:rsidRDefault="000504C5" w:rsidP="000504C5">
      <w:pPr>
        <w:pStyle w:val="Ingressi"/>
        <w:shd w:val="clear" w:color="auto" w:fill="E7E6E6" w:themeFill="background2"/>
        <w:spacing w:before="0" w:after="0" w:line="276" w:lineRule="auto"/>
        <w:rPr>
          <w:b w:val="0"/>
        </w:rPr>
      </w:pPr>
      <w:r>
        <w:rPr>
          <w:b w:val="0"/>
        </w:rPr>
        <w:t>Esimerkkiteksti</w:t>
      </w:r>
    </w:p>
    <w:p w14:paraId="3BA302FC" w14:textId="75A35C11" w:rsidR="000504C5" w:rsidRPr="00052EDD" w:rsidRDefault="000504C5" w:rsidP="000504C5">
      <w:pPr>
        <w:pStyle w:val="Ingressi"/>
        <w:shd w:val="clear" w:color="auto" w:fill="E7E6E6" w:themeFill="background2"/>
        <w:spacing w:before="0" w:line="276" w:lineRule="auto"/>
        <w:rPr>
          <w:b w:val="0"/>
          <w:color w:val="538135" w:themeColor="accent6" w:themeShade="BF"/>
        </w:rPr>
      </w:pPr>
      <w:r w:rsidRPr="00052EDD">
        <w:rPr>
          <w:b w:val="0"/>
          <w:color w:val="538135" w:themeColor="accent6" w:themeShade="BF"/>
        </w:rPr>
        <w:t>Kommentit ja ohjeet</w:t>
      </w:r>
    </w:p>
    <w:p w14:paraId="6190C936" w14:textId="77777777" w:rsidR="009A027B" w:rsidRDefault="00195A2B" w:rsidP="009A027B">
      <w:pPr>
        <w:keepNext/>
        <w:jc w:val="center"/>
      </w:pPr>
      <w:r>
        <w:rPr>
          <w:noProof/>
          <w:lang w:eastAsia="fi-FI"/>
        </w:rPr>
        <w:drawing>
          <wp:inline distT="0" distB="0" distL="0" distR="0" wp14:anchorId="0FBED100" wp14:editId="2664B635">
            <wp:extent cx="4238625" cy="3600502"/>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05002" cy="3656886"/>
                    </a:xfrm>
                    <a:prstGeom prst="rect">
                      <a:avLst/>
                    </a:prstGeom>
                  </pic:spPr>
                </pic:pic>
              </a:graphicData>
            </a:graphic>
          </wp:inline>
        </w:drawing>
      </w:r>
    </w:p>
    <w:p w14:paraId="0A840FA3" w14:textId="77777777" w:rsidR="00195A2B" w:rsidRDefault="009A027B" w:rsidP="009A027B">
      <w:pPr>
        <w:pStyle w:val="Kuvaotsikko"/>
      </w:pPr>
      <w:r w:rsidRPr="00250977">
        <w:t xml:space="preserve">Kuva </w:t>
      </w:r>
      <w:r w:rsidR="001373FE">
        <w:fldChar w:fldCharType="begin"/>
      </w:r>
      <w:r w:rsidR="001373FE">
        <w:instrText xml:space="preserve"> SEQ Kuva \* ARABIC </w:instrText>
      </w:r>
      <w:r w:rsidR="001373FE">
        <w:fldChar w:fldCharType="separate"/>
      </w:r>
      <w:r w:rsidRPr="00250977">
        <w:rPr>
          <w:noProof/>
        </w:rPr>
        <w:t>1</w:t>
      </w:r>
      <w:r w:rsidR="001373FE">
        <w:rPr>
          <w:noProof/>
        </w:rPr>
        <w:fldChar w:fldCharType="end"/>
      </w:r>
      <w:r w:rsidRPr="00250977">
        <w:t xml:space="preserve"> Ohjekorttisarjan rakenne</w:t>
      </w:r>
    </w:p>
    <w:p w14:paraId="07588CBA" w14:textId="77777777" w:rsidR="009A027B" w:rsidRPr="009A0C2D" w:rsidRDefault="009A027B" w:rsidP="00BC386B">
      <w:pPr>
        <w:rPr>
          <w:b/>
          <w:sz w:val="18"/>
        </w:rPr>
      </w:pPr>
      <w:r w:rsidRPr="009A0C2D">
        <w:rPr>
          <w:b/>
          <w:sz w:val="18"/>
        </w:rPr>
        <w:t>Sisällysluettelo</w:t>
      </w:r>
    </w:p>
    <w:p w14:paraId="6B1B6AFF" w14:textId="05C55162" w:rsidR="009A027B" w:rsidRPr="009A0C2D" w:rsidRDefault="009A027B">
      <w:pPr>
        <w:pStyle w:val="Sisluet1"/>
        <w:tabs>
          <w:tab w:val="left" w:pos="440"/>
          <w:tab w:val="right" w:leader="dot" w:pos="9628"/>
        </w:tabs>
        <w:rPr>
          <w:rFonts w:eastAsiaTheme="minorEastAsia"/>
          <w:noProof/>
          <w:sz w:val="18"/>
          <w:lang w:eastAsia="fi-FI"/>
        </w:rPr>
      </w:pPr>
      <w:r w:rsidRPr="009A0C2D">
        <w:rPr>
          <w:sz w:val="18"/>
        </w:rPr>
        <w:fldChar w:fldCharType="begin"/>
      </w:r>
      <w:r w:rsidRPr="009A0C2D">
        <w:rPr>
          <w:sz w:val="18"/>
        </w:rPr>
        <w:instrText xml:space="preserve"> TOC \o "1-1" \h \z \u </w:instrText>
      </w:r>
      <w:r w:rsidRPr="009A0C2D">
        <w:rPr>
          <w:sz w:val="18"/>
        </w:rPr>
        <w:fldChar w:fldCharType="separate"/>
      </w:r>
      <w:hyperlink w:anchor="_Toc469570271" w:history="1">
        <w:r w:rsidRPr="009A0C2D">
          <w:rPr>
            <w:rStyle w:val="Hyperlinkki"/>
            <w:noProof/>
            <w:sz w:val="18"/>
          </w:rPr>
          <w:t>1</w:t>
        </w:r>
        <w:r w:rsidRPr="009A0C2D">
          <w:rPr>
            <w:rFonts w:eastAsiaTheme="minorEastAsia"/>
            <w:noProof/>
            <w:sz w:val="18"/>
            <w:lang w:eastAsia="fi-FI"/>
          </w:rPr>
          <w:tab/>
        </w:r>
        <w:r w:rsidRPr="009A0C2D">
          <w:rPr>
            <w:rStyle w:val="Hyperlinkki"/>
            <w:noProof/>
            <w:sz w:val="18"/>
          </w:rPr>
          <w:t>Hankintayksikkö ja yhteyshenkilö</w:t>
        </w:r>
        <w:r w:rsidRPr="009A0C2D">
          <w:rPr>
            <w:noProof/>
            <w:webHidden/>
            <w:sz w:val="18"/>
          </w:rPr>
          <w:tab/>
        </w:r>
        <w:r w:rsidRPr="009A0C2D">
          <w:rPr>
            <w:noProof/>
            <w:webHidden/>
            <w:sz w:val="18"/>
          </w:rPr>
          <w:fldChar w:fldCharType="begin"/>
        </w:r>
        <w:r w:rsidRPr="009A0C2D">
          <w:rPr>
            <w:noProof/>
            <w:webHidden/>
            <w:sz w:val="18"/>
          </w:rPr>
          <w:instrText xml:space="preserve"> PAGEREF _Toc469570271 \h </w:instrText>
        </w:r>
        <w:r w:rsidRPr="009A0C2D">
          <w:rPr>
            <w:noProof/>
            <w:webHidden/>
            <w:sz w:val="18"/>
          </w:rPr>
        </w:r>
        <w:r w:rsidRPr="009A0C2D">
          <w:rPr>
            <w:noProof/>
            <w:webHidden/>
            <w:sz w:val="18"/>
          </w:rPr>
          <w:fldChar w:fldCharType="separate"/>
        </w:r>
        <w:r w:rsidR="00914B46">
          <w:rPr>
            <w:noProof/>
            <w:webHidden/>
            <w:sz w:val="18"/>
          </w:rPr>
          <w:t>2</w:t>
        </w:r>
        <w:r w:rsidRPr="009A0C2D">
          <w:rPr>
            <w:noProof/>
            <w:webHidden/>
            <w:sz w:val="18"/>
          </w:rPr>
          <w:fldChar w:fldCharType="end"/>
        </w:r>
      </w:hyperlink>
    </w:p>
    <w:p w14:paraId="15E4B805" w14:textId="2DC7EACB" w:rsidR="009A027B" w:rsidRPr="009A0C2D" w:rsidRDefault="001373FE">
      <w:pPr>
        <w:pStyle w:val="Sisluet1"/>
        <w:tabs>
          <w:tab w:val="left" w:pos="440"/>
          <w:tab w:val="right" w:leader="dot" w:pos="9628"/>
        </w:tabs>
        <w:rPr>
          <w:rFonts w:eastAsiaTheme="minorEastAsia"/>
          <w:noProof/>
          <w:sz w:val="18"/>
          <w:lang w:eastAsia="fi-FI"/>
        </w:rPr>
      </w:pPr>
      <w:hyperlink w:anchor="_Toc469570272" w:history="1">
        <w:r w:rsidR="009A027B" w:rsidRPr="009A0C2D">
          <w:rPr>
            <w:rStyle w:val="Hyperlinkki"/>
            <w:noProof/>
            <w:sz w:val="18"/>
          </w:rPr>
          <w:t>2</w:t>
        </w:r>
        <w:r w:rsidR="009A027B" w:rsidRPr="009A0C2D">
          <w:rPr>
            <w:rFonts w:eastAsiaTheme="minorEastAsia"/>
            <w:noProof/>
            <w:sz w:val="18"/>
            <w:lang w:eastAsia="fi-FI"/>
          </w:rPr>
          <w:tab/>
        </w:r>
        <w:r w:rsidR="009A027B" w:rsidRPr="009A0C2D">
          <w:rPr>
            <w:rStyle w:val="Hyperlinkki"/>
            <w:noProof/>
            <w:sz w:val="18"/>
          </w:rPr>
          <w:t>Hankinnan kohde ja hanke</w:t>
        </w:r>
        <w:r w:rsidR="009A027B" w:rsidRPr="009A0C2D">
          <w:rPr>
            <w:noProof/>
            <w:webHidden/>
            <w:sz w:val="18"/>
          </w:rPr>
          <w:tab/>
        </w:r>
        <w:r w:rsidR="009A027B" w:rsidRPr="009A0C2D">
          <w:rPr>
            <w:noProof/>
            <w:webHidden/>
            <w:sz w:val="18"/>
          </w:rPr>
          <w:fldChar w:fldCharType="begin"/>
        </w:r>
        <w:r w:rsidR="009A027B" w:rsidRPr="009A0C2D">
          <w:rPr>
            <w:noProof/>
            <w:webHidden/>
            <w:sz w:val="18"/>
          </w:rPr>
          <w:instrText xml:space="preserve"> PAGEREF _Toc469570272 \h </w:instrText>
        </w:r>
        <w:r w:rsidR="009A027B" w:rsidRPr="009A0C2D">
          <w:rPr>
            <w:noProof/>
            <w:webHidden/>
            <w:sz w:val="18"/>
          </w:rPr>
        </w:r>
        <w:r w:rsidR="009A027B" w:rsidRPr="009A0C2D">
          <w:rPr>
            <w:noProof/>
            <w:webHidden/>
            <w:sz w:val="18"/>
          </w:rPr>
          <w:fldChar w:fldCharType="separate"/>
        </w:r>
        <w:r w:rsidR="00914B46">
          <w:rPr>
            <w:noProof/>
            <w:webHidden/>
            <w:sz w:val="18"/>
          </w:rPr>
          <w:t>2</w:t>
        </w:r>
        <w:r w:rsidR="009A027B" w:rsidRPr="009A0C2D">
          <w:rPr>
            <w:noProof/>
            <w:webHidden/>
            <w:sz w:val="18"/>
          </w:rPr>
          <w:fldChar w:fldCharType="end"/>
        </w:r>
      </w:hyperlink>
    </w:p>
    <w:p w14:paraId="02744334" w14:textId="31384DAF" w:rsidR="009A027B" w:rsidRPr="009A0C2D" w:rsidRDefault="001373FE">
      <w:pPr>
        <w:pStyle w:val="Sisluet1"/>
        <w:tabs>
          <w:tab w:val="left" w:pos="440"/>
          <w:tab w:val="right" w:leader="dot" w:pos="9628"/>
        </w:tabs>
        <w:rPr>
          <w:rFonts w:eastAsiaTheme="minorEastAsia"/>
          <w:noProof/>
          <w:sz w:val="18"/>
          <w:lang w:eastAsia="fi-FI"/>
        </w:rPr>
      </w:pPr>
      <w:hyperlink w:anchor="_Toc469570273" w:history="1">
        <w:r w:rsidR="009A027B" w:rsidRPr="009A0C2D">
          <w:rPr>
            <w:rStyle w:val="Hyperlinkki"/>
            <w:noProof/>
            <w:sz w:val="18"/>
            <w:lang w:eastAsia="fi-FI"/>
          </w:rPr>
          <w:t>3</w:t>
        </w:r>
        <w:r w:rsidR="009A027B" w:rsidRPr="009A0C2D">
          <w:rPr>
            <w:rFonts w:eastAsiaTheme="minorEastAsia"/>
            <w:noProof/>
            <w:sz w:val="18"/>
            <w:lang w:eastAsia="fi-FI"/>
          </w:rPr>
          <w:tab/>
        </w:r>
        <w:r w:rsidR="009A027B" w:rsidRPr="009A0C2D">
          <w:rPr>
            <w:rStyle w:val="Hyperlinkki"/>
            <w:noProof/>
            <w:sz w:val="18"/>
            <w:lang w:eastAsia="fi-FI"/>
          </w:rPr>
          <w:t>Hankintamenettely</w:t>
        </w:r>
        <w:r w:rsidR="009A027B" w:rsidRPr="009A0C2D">
          <w:rPr>
            <w:noProof/>
            <w:webHidden/>
            <w:sz w:val="18"/>
          </w:rPr>
          <w:tab/>
        </w:r>
        <w:r w:rsidR="009A027B" w:rsidRPr="009A0C2D">
          <w:rPr>
            <w:noProof/>
            <w:webHidden/>
            <w:sz w:val="18"/>
          </w:rPr>
          <w:fldChar w:fldCharType="begin"/>
        </w:r>
        <w:r w:rsidR="009A027B" w:rsidRPr="009A0C2D">
          <w:rPr>
            <w:noProof/>
            <w:webHidden/>
            <w:sz w:val="18"/>
          </w:rPr>
          <w:instrText xml:space="preserve"> PAGEREF _Toc469570273 \h </w:instrText>
        </w:r>
        <w:r w:rsidR="009A027B" w:rsidRPr="009A0C2D">
          <w:rPr>
            <w:noProof/>
            <w:webHidden/>
            <w:sz w:val="18"/>
          </w:rPr>
        </w:r>
        <w:r w:rsidR="009A027B" w:rsidRPr="009A0C2D">
          <w:rPr>
            <w:noProof/>
            <w:webHidden/>
            <w:sz w:val="18"/>
          </w:rPr>
          <w:fldChar w:fldCharType="separate"/>
        </w:r>
        <w:r w:rsidR="00914B46">
          <w:rPr>
            <w:noProof/>
            <w:webHidden/>
            <w:sz w:val="18"/>
          </w:rPr>
          <w:t>3</w:t>
        </w:r>
        <w:r w:rsidR="009A027B" w:rsidRPr="009A0C2D">
          <w:rPr>
            <w:noProof/>
            <w:webHidden/>
            <w:sz w:val="18"/>
          </w:rPr>
          <w:fldChar w:fldCharType="end"/>
        </w:r>
      </w:hyperlink>
    </w:p>
    <w:p w14:paraId="4142DBE3" w14:textId="4C874795" w:rsidR="009A027B" w:rsidRPr="009A0C2D" w:rsidRDefault="001373FE">
      <w:pPr>
        <w:pStyle w:val="Sisluet1"/>
        <w:tabs>
          <w:tab w:val="left" w:pos="440"/>
          <w:tab w:val="right" w:leader="dot" w:pos="9628"/>
        </w:tabs>
        <w:rPr>
          <w:rFonts w:eastAsiaTheme="minorEastAsia"/>
          <w:noProof/>
          <w:sz w:val="18"/>
          <w:lang w:eastAsia="fi-FI"/>
        </w:rPr>
      </w:pPr>
      <w:hyperlink w:anchor="_Toc469570274" w:history="1">
        <w:r w:rsidR="009A027B" w:rsidRPr="009A0C2D">
          <w:rPr>
            <w:rStyle w:val="Hyperlinkki"/>
            <w:noProof/>
            <w:sz w:val="18"/>
            <w:lang w:eastAsia="fi-FI"/>
          </w:rPr>
          <w:t>4</w:t>
        </w:r>
        <w:r w:rsidR="009A027B" w:rsidRPr="009A0C2D">
          <w:rPr>
            <w:rFonts w:eastAsiaTheme="minorEastAsia"/>
            <w:noProof/>
            <w:sz w:val="18"/>
            <w:lang w:eastAsia="fi-FI"/>
          </w:rPr>
          <w:tab/>
        </w:r>
        <w:r w:rsidR="009A027B" w:rsidRPr="009A0C2D">
          <w:rPr>
            <w:rStyle w:val="Hyperlinkki"/>
            <w:noProof/>
            <w:sz w:val="18"/>
            <w:lang w:eastAsia="fi-FI"/>
          </w:rPr>
          <w:t>Osallistumisvaatimukset</w:t>
        </w:r>
        <w:r w:rsidR="009A027B" w:rsidRPr="009A0C2D">
          <w:rPr>
            <w:noProof/>
            <w:webHidden/>
            <w:sz w:val="18"/>
          </w:rPr>
          <w:tab/>
        </w:r>
        <w:r w:rsidR="009A027B" w:rsidRPr="009A0C2D">
          <w:rPr>
            <w:noProof/>
            <w:webHidden/>
            <w:sz w:val="18"/>
          </w:rPr>
          <w:fldChar w:fldCharType="begin"/>
        </w:r>
        <w:r w:rsidR="009A027B" w:rsidRPr="009A0C2D">
          <w:rPr>
            <w:noProof/>
            <w:webHidden/>
            <w:sz w:val="18"/>
          </w:rPr>
          <w:instrText xml:space="preserve"> PAGEREF _Toc469570274 \h </w:instrText>
        </w:r>
        <w:r w:rsidR="009A027B" w:rsidRPr="009A0C2D">
          <w:rPr>
            <w:noProof/>
            <w:webHidden/>
            <w:sz w:val="18"/>
          </w:rPr>
        </w:r>
        <w:r w:rsidR="009A027B" w:rsidRPr="009A0C2D">
          <w:rPr>
            <w:noProof/>
            <w:webHidden/>
            <w:sz w:val="18"/>
          </w:rPr>
          <w:fldChar w:fldCharType="separate"/>
        </w:r>
        <w:r w:rsidR="00914B46">
          <w:rPr>
            <w:noProof/>
            <w:webHidden/>
            <w:sz w:val="18"/>
          </w:rPr>
          <w:t>3</w:t>
        </w:r>
        <w:r w:rsidR="009A027B" w:rsidRPr="009A0C2D">
          <w:rPr>
            <w:noProof/>
            <w:webHidden/>
            <w:sz w:val="18"/>
          </w:rPr>
          <w:fldChar w:fldCharType="end"/>
        </w:r>
      </w:hyperlink>
    </w:p>
    <w:p w14:paraId="3CFA5D92" w14:textId="0E3A9D6E" w:rsidR="009A027B" w:rsidRPr="009A0C2D" w:rsidRDefault="001373FE">
      <w:pPr>
        <w:pStyle w:val="Sisluet1"/>
        <w:tabs>
          <w:tab w:val="left" w:pos="440"/>
          <w:tab w:val="right" w:leader="dot" w:pos="9628"/>
        </w:tabs>
        <w:rPr>
          <w:rFonts w:eastAsiaTheme="minorEastAsia"/>
          <w:noProof/>
          <w:sz w:val="18"/>
          <w:lang w:eastAsia="fi-FI"/>
        </w:rPr>
      </w:pPr>
      <w:hyperlink w:anchor="_Toc469570275" w:history="1">
        <w:r w:rsidR="009A027B" w:rsidRPr="009A0C2D">
          <w:rPr>
            <w:rStyle w:val="Hyperlinkki"/>
            <w:noProof/>
            <w:sz w:val="18"/>
          </w:rPr>
          <w:t>5</w:t>
        </w:r>
        <w:r w:rsidR="009A027B" w:rsidRPr="009A0C2D">
          <w:rPr>
            <w:rFonts w:eastAsiaTheme="minorEastAsia"/>
            <w:noProof/>
            <w:sz w:val="18"/>
            <w:lang w:eastAsia="fi-FI"/>
          </w:rPr>
          <w:tab/>
        </w:r>
        <w:r w:rsidR="009A027B" w:rsidRPr="009A0C2D">
          <w:rPr>
            <w:rStyle w:val="Hyperlinkki"/>
            <w:noProof/>
            <w:sz w:val="18"/>
          </w:rPr>
          <w:t>Tarjouksen sisältö ja jättäminen</w:t>
        </w:r>
        <w:r w:rsidR="009A027B" w:rsidRPr="009A0C2D">
          <w:rPr>
            <w:noProof/>
            <w:webHidden/>
            <w:sz w:val="18"/>
          </w:rPr>
          <w:tab/>
        </w:r>
        <w:r w:rsidR="009A027B" w:rsidRPr="009A0C2D">
          <w:rPr>
            <w:noProof/>
            <w:webHidden/>
            <w:sz w:val="18"/>
          </w:rPr>
          <w:fldChar w:fldCharType="begin"/>
        </w:r>
        <w:r w:rsidR="009A027B" w:rsidRPr="009A0C2D">
          <w:rPr>
            <w:noProof/>
            <w:webHidden/>
            <w:sz w:val="18"/>
          </w:rPr>
          <w:instrText xml:space="preserve"> PAGEREF _Toc469570275 \h </w:instrText>
        </w:r>
        <w:r w:rsidR="009A027B" w:rsidRPr="009A0C2D">
          <w:rPr>
            <w:noProof/>
            <w:webHidden/>
            <w:sz w:val="18"/>
          </w:rPr>
        </w:r>
        <w:r w:rsidR="009A027B" w:rsidRPr="009A0C2D">
          <w:rPr>
            <w:noProof/>
            <w:webHidden/>
            <w:sz w:val="18"/>
          </w:rPr>
          <w:fldChar w:fldCharType="separate"/>
        </w:r>
        <w:r w:rsidR="00914B46">
          <w:rPr>
            <w:noProof/>
            <w:webHidden/>
            <w:sz w:val="18"/>
          </w:rPr>
          <w:t>5</w:t>
        </w:r>
        <w:r w:rsidR="009A027B" w:rsidRPr="009A0C2D">
          <w:rPr>
            <w:noProof/>
            <w:webHidden/>
            <w:sz w:val="18"/>
          </w:rPr>
          <w:fldChar w:fldCharType="end"/>
        </w:r>
      </w:hyperlink>
    </w:p>
    <w:p w14:paraId="6BE48D2B" w14:textId="20F89BF2" w:rsidR="009A027B" w:rsidRPr="009A0C2D" w:rsidRDefault="001373FE">
      <w:pPr>
        <w:pStyle w:val="Sisluet1"/>
        <w:tabs>
          <w:tab w:val="left" w:pos="440"/>
          <w:tab w:val="right" w:leader="dot" w:pos="9628"/>
        </w:tabs>
        <w:rPr>
          <w:rFonts w:eastAsiaTheme="minorEastAsia"/>
          <w:noProof/>
          <w:sz w:val="18"/>
          <w:lang w:eastAsia="fi-FI"/>
        </w:rPr>
      </w:pPr>
      <w:hyperlink w:anchor="_Toc469570276" w:history="1">
        <w:r w:rsidR="009A027B" w:rsidRPr="009A0C2D">
          <w:rPr>
            <w:rStyle w:val="Hyperlinkki"/>
            <w:noProof/>
            <w:sz w:val="18"/>
          </w:rPr>
          <w:t>6</w:t>
        </w:r>
        <w:r w:rsidR="009A027B" w:rsidRPr="009A0C2D">
          <w:rPr>
            <w:rFonts w:eastAsiaTheme="minorEastAsia"/>
            <w:noProof/>
            <w:sz w:val="18"/>
            <w:lang w:eastAsia="fi-FI"/>
          </w:rPr>
          <w:tab/>
        </w:r>
        <w:r w:rsidR="009A027B" w:rsidRPr="009A0C2D">
          <w:rPr>
            <w:rStyle w:val="Hyperlinkki"/>
            <w:noProof/>
            <w:sz w:val="18"/>
          </w:rPr>
          <w:t>Tarjousten käsittely</w:t>
        </w:r>
        <w:r w:rsidR="009A027B" w:rsidRPr="009A0C2D">
          <w:rPr>
            <w:noProof/>
            <w:webHidden/>
            <w:sz w:val="18"/>
          </w:rPr>
          <w:tab/>
        </w:r>
        <w:r w:rsidR="009A027B" w:rsidRPr="009A0C2D">
          <w:rPr>
            <w:noProof/>
            <w:webHidden/>
            <w:sz w:val="18"/>
          </w:rPr>
          <w:fldChar w:fldCharType="begin"/>
        </w:r>
        <w:r w:rsidR="009A027B" w:rsidRPr="009A0C2D">
          <w:rPr>
            <w:noProof/>
            <w:webHidden/>
            <w:sz w:val="18"/>
          </w:rPr>
          <w:instrText xml:space="preserve"> PAGEREF _Toc469570276 \h </w:instrText>
        </w:r>
        <w:r w:rsidR="009A027B" w:rsidRPr="009A0C2D">
          <w:rPr>
            <w:noProof/>
            <w:webHidden/>
            <w:sz w:val="18"/>
          </w:rPr>
        </w:r>
        <w:r w:rsidR="009A027B" w:rsidRPr="009A0C2D">
          <w:rPr>
            <w:noProof/>
            <w:webHidden/>
            <w:sz w:val="18"/>
          </w:rPr>
          <w:fldChar w:fldCharType="separate"/>
        </w:r>
        <w:r w:rsidR="00914B46">
          <w:rPr>
            <w:noProof/>
            <w:webHidden/>
            <w:sz w:val="18"/>
          </w:rPr>
          <w:t>7</w:t>
        </w:r>
        <w:r w:rsidR="009A027B" w:rsidRPr="009A0C2D">
          <w:rPr>
            <w:noProof/>
            <w:webHidden/>
            <w:sz w:val="18"/>
          </w:rPr>
          <w:fldChar w:fldCharType="end"/>
        </w:r>
      </w:hyperlink>
    </w:p>
    <w:p w14:paraId="3A089060" w14:textId="34F8BB7E" w:rsidR="009A027B" w:rsidRPr="009A0C2D" w:rsidRDefault="001373FE">
      <w:pPr>
        <w:pStyle w:val="Sisluet1"/>
        <w:tabs>
          <w:tab w:val="left" w:pos="440"/>
          <w:tab w:val="right" w:leader="dot" w:pos="9628"/>
        </w:tabs>
        <w:rPr>
          <w:rFonts w:eastAsiaTheme="minorEastAsia"/>
          <w:noProof/>
          <w:sz w:val="18"/>
          <w:lang w:eastAsia="fi-FI"/>
        </w:rPr>
      </w:pPr>
      <w:hyperlink w:anchor="_Toc469570277" w:history="1">
        <w:r w:rsidR="009A027B" w:rsidRPr="009A0C2D">
          <w:rPr>
            <w:rStyle w:val="Hyperlinkki"/>
            <w:noProof/>
            <w:sz w:val="18"/>
          </w:rPr>
          <w:t>7</w:t>
        </w:r>
        <w:r w:rsidR="009A027B" w:rsidRPr="009A0C2D">
          <w:rPr>
            <w:rFonts w:eastAsiaTheme="minorEastAsia"/>
            <w:noProof/>
            <w:sz w:val="18"/>
            <w:lang w:eastAsia="fi-FI"/>
          </w:rPr>
          <w:tab/>
        </w:r>
        <w:r w:rsidR="009A027B" w:rsidRPr="009A0C2D">
          <w:rPr>
            <w:rStyle w:val="Hyperlinkki"/>
            <w:noProof/>
            <w:sz w:val="18"/>
          </w:rPr>
          <w:t>Sopimusehdot</w:t>
        </w:r>
        <w:r w:rsidR="009A027B" w:rsidRPr="009A0C2D">
          <w:rPr>
            <w:noProof/>
            <w:webHidden/>
            <w:sz w:val="18"/>
          </w:rPr>
          <w:tab/>
        </w:r>
        <w:r w:rsidR="009A027B" w:rsidRPr="009A0C2D">
          <w:rPr>
            <w:noProof/>
            <w:webHidden/>
            <w:sz w:val="18"/>
          </w:rPr>
          <w:fldChar w:fldCharType="begin"/>
        </w:r>
        <w:r w:rsidR="009A027B" w:rsidRPr="009A0C2D">
          <w:rPr>
            <w:noProof/>
            <w:webHidden/>
            <w:sz w:val="18"/>
          </w:rPr>
          <w:instrText xml:space="preserve"> PAGEREF _Toc469570277 \h </w:instrText>
        </w:r>
        <w:r w:rsidR="009A027B" w:rsidRPr="009A0C2D">
          <w:rPr>
            <w:noProof/>
            <w:webHidden/>
            <w:sz w:val="18"/>
          </w:rPr>
        </w:r>
        <w:r w:rsidR="009A027B" w:rsidRPr="009A0C2D">
          <w:rPr>
            <w:noProof/>
            <w:webHidden/>
            <w:sz w:val="18"/>
          </w:rPr>
          <w:fldChar w:fldCharType="separate"/>
        </w:r>
        <w:r w:rsidR="00914B46">
          <w:rPr>
            <w:noProof/>
            <w:webHidden/>
            <w:sz w:val="18"/>
          </w:rPr>
          <w:t>8</w:t>
        </w:r>
        <w:r w:rsidR="009A027B" w:rsidRPr="009A0C2D">
          <w:rPr>
            <w:noProof/>
            <w:webHidden/>
            <w:sz w:val="18"/>
          </w:rPr>
          <w:fldChar w:fldCharType="end"/>
        </w:r>
      </w:hyperlink>
    </w:p>
    <w:p w14:paraId="75978020" w14:textId="5545DC01" w:rsidR="009A027B" w:rsidRPr="009A0C2D" w:rsidRDefault="001373FE">
      <w:pPr>
        <w:pStyle w:val="Sisluet1"/>
        <w:tabs>
          <w:tab w:val="left" w:pos="440"/>
          <w:tab w:val="right" w:leader="dot" w:pos="9628"/>
        </w:tabs>
        <w:rPr>
          <w:rFonts w:eastAsiaTheme="minorEastAsia"/>
          <w:noProof/>
          <w:sz w:val="18"/>
          <w:lang w:eastAsia="fi-FI"/>
        </w:rPr>
      </w:pPr>
      <w:hyperlink w:anchor="_Toc469570278" w:history="1">
        <w:r w:rsidR="009A027B" w:rsidRPr="009A0C2D">
          <w:rPr>
            <w:rStyle w:val="Hyperlinkki"/>
            <w:noProof/>
            <w:sz w:val="18"/>
          </w:rPr>
          <w:t>8</w:t>
        </w:r>
        <w:r w:rsidR="009A027B" w:rsidRPr="009A0C2D">
          <w:rPr>
            <w:rFonts w:eastAsiaTheme="minorEastAsia"/>
            <w:noProof/>
            <w:sz w:val="18"/>
            <w:lang w:eastAsia="fi-FI"/>
          </w:rPr>
          <w:tab/>
        </w:r>
        <w:r w:rsidR="009A027B" w:rsidRPr="009A0C2D">
          <w:rPr>
            <w:rStyle w:val="Hyperlinkki"/>
            <w:noProof/>
            <w:sz w:val="18"/>
          </w:rPr>
          <w:t>Lisätiedot</w:t>
        </w:r>
        <w:r w:rsidR="009A027B" w:rsidRPr="009A0C2D">
          <w:rPr>
            <w:noProof/>
            <w:webHidden/>
            <w:sz w:val="18"/>
          </w:rPr>
          <w:tab/>
        </w:r>
        <w:r w:rsidR="009A027B" w:rsidRPr="009A0C2D">
          <w:rPr>
            <w:noProof/>
            <w:webHidden/>
            <w:sz w:val="18"/>
          </w:rPr>
          <w:fldChar w:fldCharType="begin"/>
        </w:r>
        <w:r w:rsidR="009A027B" w:rsidRPr="009A0C2D">
          <w:rPr>
            <w:noProof/>
            <w:webHidden/>
            <w:sz w:val="18"/>
          </w:rPr>
          <w:instrText xml:space="preserve"> PAGEREF _Toc469570278 \h </w:instrText>
        </w:r>
        <w:r w:rsidR="009A027B" w:rsidRPr="009A0C2D">
          <w:rPr>
            <w:noProof/>
            <w:webHidden/>
            <w:sz w:val="18"/>
          </w:rPr>
        </w:r>
        <w:r w:rsidR="009A027B" w:rsidRPr="009A0C2D">
          <w:rPr>
            <w:noProof/>
            <w:webHidden/>
            <w:sz w:val="18"/>
          </w:rPr>
          <w:fldChar w:fldCharType="separate"/>
        </w:r>
        <w:r w:rsidR="00914B46">
          <w:rPr>
            <w:noProof/>
            <w:webHidden/>
            <w:sz w:val="18"/>
          </w:rPr>
          <w:t>10</w:t>
        </w:r>
        <w:r w:rsidR="009A027B" w:rsidRPr="009A0C2D">
          <w:rPr>
            <w:noProof/>
            <w:webHidden/>
            <w:sz w:val="18"/>
          </w:rPr>
          <w:fldChar w:fldCharType="end"/>
        </w:r>
      </w:hyperlink>
    </w:p>
    <w:p w14:paraId="501B2FE1" w14:textId="5F3A7D1A" w:rsidR="009A027B" w:rsidRPr="009A0C2D" w:rsidRDefault="001373FE">
      <w:pPr>
        <w:pStyle w:val="Sisluet1"/>
        <w:tabs>
          <w:tab w:val="left" w:pos="440"/>
          <w:tab w:val="right" w:leader="dot" w:pos="9628"/>
        </w:tabs>
        <w:rPr>
          <w:rFonts w:eastAsiaTheme="minorEastAsia"/>
          <w:noProof/>
          <w:sz w:val="18"/>
          <w:lang w:eastAsia="fi-FI"/>
        </w:rPr>
      </w:pPr>
      <w:hyperlink w:anchor="_Toc469570279" w:history="1">
        <w:r w:rsidR="009A027B" w:rsidRPr="009A0C2D">
          <w:rPr>
            <w:rStyle w:val="Hyperlinkki"/>
            <w:noProof/>
            <w:sz w:val="18"/>
          </w:rPr>
          <w:t>9</w:t>
        </w:r>
        <w:r w:rsidR="009A027B" w:rsidRPr="009A0C2D">
          <w:rPr>
            <w:rFonts w:eastAsiaTheme="minorEastAsia"/>
            <w:noProof/>
            <w:sz w:val="18"/>
            <w:lang w:eastAsia="fi-FI"/>
          </w:rPr>
          <w:tab/>
        </w:r>
        <w:r w:rsidR="009A027B" w:rsidRPr="009A0C2D">
          <w:rPr>
            <w:rStyle w:val="Hyperlinkki"/>
            <w:noProof/>
            <w:sz w:val="18"/>
          </w:rPr>
          <w:t>Liitteet</w:t>
        </w:r>
        <w:r w:rsidR="009A027B" w:rsidRPr="009A0C2D">
          <w:rPr>
            <w:noProof/>
            <w:webHidden/>
            <w:sz w:val="18"/>
          </w:rPr>
          <w:tab/>
        </w:r>
        <w:r w:rsidR="009A027B" w:rsidRPr="009A0C2D">
          <w:rPr>
            <w:noProof/>
            <w:webHidden/>
            <w:sz w:val="18"/>
          </w:rPr>
          <w:fldChar w:fldCharType="begin"/>
        </w:r>
        <w:r w:rsidR="009A027B" w:rsidRPr="009A0C2D">
          <w:rPr>
            <w:noProof/>
            <w:webHidden/>
            <w:sz w:val="18"/>
          </w:rPr>
          <w:instrText xml:space="preserve"> PAGEREF _Toc469570279 \h </w:instrText>
        </w:r>
        <w:r w:rsidR="009A027B" w:rsidRPr="009A0C2D">
          <w:rPr>
            <w:noProof/>
            <w:webHidden/>
            <w:sz w:val="18"/>
          </w:rPr>
        </w:r>
        <w:r w:rsidR="009A027B" w:rsidRPr="009A0C2D">
          <w:rPr>
            <w:noProof/>
            <w:webHidden/>
            <w:sz w:val="18"/>
          </w:rPr>
          <w:fldChar w:fldCharType="separate"/>
        </w:r>
        <w:r w:rsidR="00914B46">
          <w:rPr>
            <w:noProof/>
            <w:webHidden/>
            <w:sz w:val="18"/>
          </w:rPr>
          <w:t>10</w:t>
        </w:r>
        <w:r w:rsidR="009A027B" w:rsidRPr="009A0C2D">
          <w:rPr>
            <w:noProof/>
            <w:webHidden/>
            <w:sz w:val="18"/>
          </w:rPr>
          <w:fldChar w:fldCharType="end"/>
        </w:r>
      </w:hyperlink>
    </w:p>
    <w:p w14:paraId="6CD810D9" w14:textId="1520E4FF" w:rsidR="00195A2B" w:rsidRDefault="009A027B" w:rsidP="00BC386B">
      <w:pPr>
        <w:sectPr w:rsidR="00195A2B" w:rsidSect="006669E9">
          <w:headerReference w:type="default" r:id="rId9"/>
          <w:pgSz w:w="11906" w:h="16838"/>
          <w:pgMar w:top="1417" w:right="1134" w:bottom="1417" w:left="1134" w:header="708" w:footer="708" w:gutter="0"/>
          <w:cols w:space="708"/>
          <w:docGrid w:linePitch="360"/>
        </w:sectPr>
      </w:pPr>
      <w:r w:rsidRPr="009A0C2D">
        <w:rPr>
          <w:sz w:val="18"/>
        </w:rPr>
        <w:fldChar w:fldCharType="end"/>
      </w:r>
    </w:p>
    <w:p w14:paraId="380B4EE4" w14:textId="77777777" w:rsidR="00922C55" w:rsidRDefault="005524C1" w:rsidP="009E527E">
      <w:r w:rsidRPr="005524C1">
        <w:lastRenderedPageBreak/>
        <w:t xml:space="preserve">Pyydämme tarjoustanne Urheilutien liikuntahallin uudisrakennuksen </w:t>
      </w:r>
      <w:r w:rsidR="007D37AA">
        <w:t xml:space="preserve">pää- ja </w:t>
      </w:r>
      <w:r w:rsidR="00AE2B59">
        <w:t>arkkitehtisuunnittelusta</w:t>
      </w:r>
      <w:r w:rsidRPr="00565D77">
        <w:t xml:space="preserve"> </w:t>
      </w:r>
      <w:r w:rsidRPr="005524C1">
        <w:t>tämän tarjouspyynnön ja</w:t>
      </w:r>
      <w:r w:rsidR="008A54A6">
        <w:t xml:space="preserve"> sen</w:t>
      </w:r>
      <w:r w:rsidRPr="005524C1">
        <w:t xml:space="preserve"> liitteenä olevien asiakirjojen mukaisesti. </w:t>
      </w:r>
    </w:p>
    <w:p w14:paraId="24DE569F" w14:textId="77777777" w:rsidR="00BC386B" w:rsidRDefault="008A54A6" w:rsidP="00BC386B">
      <w:r>
        <w:t>Hankinnan ennakoitu arvo ylittää hankintalain 26 §:ssä tarkoitetun EU-kynnysarvon ja hankintamenettelynä käytetään hankintalain 33 §:ssä tarkoitettua rajoitettua menettelyä</w:t>
      </w:r>
      <w:r w:rsidR="005524C1" w:rsidRPr="005524C1">
        <w:t>. Hankintai</w:t>
      </w:r>
      <w:r w:rsidR="002426DB">
        <w:t xml:space="preserve">lmoitus on julkaistu </w:t>
      </w:r>
      <w:proofErr w:type="spellStart"/>
      <w:r w:rsidR="002426DB">
        <w:t>HILMA:ssa</w:t>
      </w:r>
      <w:proofErr w:type="spellEnd"/>
      <w:r w:rsidR="002426DB">
        <w:t xml:space="preserve"> </w:t>
      </w:r>
      <w:proofErr w:type="spellStart"/>
      <w:r w:rsidR="002426DB">
        <w:t>pp.</w:t>
      </w:r>
      <w:proofErr w:type="gramStart"/>
      <w:r w:rsidR="002426DB">
        <w:t>kk</w:t>
      </w:r>
      <w:r w:rsidR="005524C1" w:rsidRPr="005524C1">
        <w:t>.</w:t>
      </w:r>
      <w:r w:rsidR="002426DB">
        <w:t>vvvv</w:t>
      </w:r>
      <w:proofErr w:type="spellEnd"/>
      <w:proofErr w:type="gramEnd"/>
      <w:r w:rsidR="002426DB">
        <w:t>.</w:t>
      </w:r>
    </w:p>
    <w:p w14:paraId="00ADEAC8" w14:textId="77777777" w:rsidR="005524C1" w:rsidRDefault="005524C1" w:rsidP="005524C1">
      <w:pPr>
        <w:pStyle w:val="Otsikko1"/>
      </w:pPr>
      <w:bookmarkStart w:id="0" w:name="_Toc469570154"/>
      <w:bookmarkStart w:id="1" w:name="_Toc469570271"/>
      <w:r w:rsidRPr="005524C1">
        <w:t>Hankintayksikkö</w:t>
      </w:r>
      <w:r>
        <w:t xml:space="preserve"> ja yhteyshenkilö</w:t>
      </w:r>
      <w:bookmarkEnd w:id="0"/>
      <w:bookmarkEnd w:id="1"/>
    </w:p>
    <w:p w14:paraId="2B14A60B" w14:textId="77777777" w:rsidR="005524C1" w:rsidRDefault="005524C1" w:rsidP="005524C1">
      <w:pPr>
        <w:spacing w:after="0"/>
      </w:pPr>
      <w:proofErr w:type="spellStart"/>
      <w:r>
        <w:t>Kuntalan</w:t>
      </w:r>
      <w:proofErr w:type="spellEnd"/>
      <w:r>
        <w:t xml:space="preserve"> tilapalvelukeskus</w:t>
      </w:r>
    </w:p>
    <w:p w14:paraId="5232ADFE" w14:textId="77777777" w:rsidR="005524C1" w:rsidRDefault="005524C1" w:rsidP="005524C1">
      <w:pPr>
        <w:spacing w:after="0"/>
      </w:pPr>
      <w:r>
        <w:t xml:space="preserve">Kauppakatu 1A, 00000 </w:t>
      </w:r>
      <w:proofErr w:type="spellStart"/>
      <w:r>
        <w:t>Kuntala</w:t>
      </w:r>
      <w:proofErr w:type="spellEnd"/>
    </w:p>
    <w:p w14:paraId="7D49BEE0" w14:textId="77777777" w:rsidR="005524C1" w:rsidRDefault="005524C1" w:rsidP="005524C1">
      <w:pPr>
        <w:spacing w:after="0"/>
      </w:pPr>
      <w:r>
        <w:t>Yhteyshenkilö: rakennuspäällikkö Raimo Rakennuttaja</w:t>
      </w:r>
    </w:p>
    <w:p w14:paraId="112C988E" w14:textId="77777777" w:rsidR="005524C1" w:rsidRDefault="005524C1" w:rsidP="005524C1">
      <w:pPr>
        <w:spacing w:after="0"/>
      </w:pPr>
      <w:r>
        <w:t>Puhelin 555 123 456, sähköposti: raimo.rakennuttaja@kuntala.fi</w:t>
      </w:r>
    </w:p>
    <w:p w14:paraId="76E538C1" w14:textId="77777777" w:rsidR="005524C1" w:rsidRDefault="005524C1" w:rsidP="005524C1">
      <w:pPr>
        <w:spacing w:after="0"/>
      </w:pPr>
      <w:proofErr w:type="spellStart"/>
      <w:r>
        <w:t>Kuntala</w:t>
      </w:r>
      <w:proofErr w:type="spellEnd"/>
      <w:r>
        <w:t xml:space="preserve"> on kunta Länsi-Suomessa. Kunnan rakennuttamisesta vastaa tilapalvelukeskus.</w:t>
      </w:r>
    </w:p>
    <w:p w14:paraId="52BF34A8" w14:textId="77777777" w:rsidR="00EA016C" w:rsidRPr="008A54A6" w:rsidRDefault="00FE53F1" w:rsidP="00EA016C">
      <w:pPr>
        <w:pStyle w:val="Otsikko1"/>
      </w:pPr>
      <w:bookmarkStart w:id="2" w:name="_Toc469570155"/>
      <w:bookmarkStart w:id="3" w:name="_Toc469570272"/>
      <w:r>
        <w:t>Hankinnan kohde</w:t>
      </w:r>
      <w:r w:rsidR="00F533A3">
        <w:t xml:space="preserve"> ja hanke</w:t>
      </w:r>
      <w:bookmarkEnd w:id="2"/>
      <w:bookmarkEnd w:id="3"/>
    </w:p>
    <w:p w14:paraId="0C53E448" w14:textId="77777777" w:rsidR="003569C4" w:rsidRDefault="003569C4" w:rsidP="003569C4">
      <w:pPr>
        <w:pStyle w:val="Otsikko2"/>
      </w:pPr>
      <w:bookmarkStart w:id="4" w:name="_Toc469570156"/>
      <w:r>
        <w:t>Hanke</w:t>
      </w:r>
      <w:bookmarkEnd w:id="4"/>
    </w:p>
    <w:p w14:paraId="09694A11" w14:textId="499F6605" w:rsidR="0063124E" w:rsidRDefault="00F90E05" w:rsidP="00F90E05">
      <w:r>
        <w:t xml:space="preserve">Tämän tarjouspyynnön kohteena oleva suunnittelutoimeksianto liittyy Urheilutien liikuntahallin uudisrakennushankkeeseen. </w:t>
      </w:r>
      <w:r w:rsidR="0063124E">
        <w:t xml:space="preserve">Kohteen arvioitu </w:t>
      </w:r>
      <w:r w:rsidR="00312EE6" w:rsidRPr="00327DFE">
        <w:rPr>
          <w:highlight w:val="yellow"/>
        </w:rPr>
        <w:t>pinta-</w:t>
      </w:r>
      <w:r w:rsidR="0063124E" w:rsidRPr="00327DFE">
        <w:rPr>
          <w:highlight w:val="yellow"/>
        </w:rPr>
        <w:t>ala</w:t>
      </w:r>
      <w:r w:rsidR="0063124E">
        <w:t xml:space="preserve"> on 1950 </w:t>
      </w:r>
      <w:r w:rsidR="00312EE6" w:rsidRPr="00312EE6">
        <w:rPr>
          <w:highlight w:val="yellow"/>
        </w:rPr>
        <w:t>br</w:t>
      </w:r>
      <w:r w:rsidR="0063124E" w:rsidRPr="00312EE6">
        <w:rPr>
          <w:highlight w:val="yellow"/>
        </w:rPr>
        <w:t>m2</w:t>
      </w:r>
      <w:r w:rsidR="0063124E">
        <w:t>. Kohde tulee sisältämään:</w:t>
      </w:r>
    </w:p>
    <w:p w14:paraId="274B3296" w14:textId="77777777" w:rsidR="0063124E" w:rsidRDefault="0063124E" w:rsidP="0063124E">
      <w:pPr>
        <w:pStyle w:val="Luettelokappale"/>
        <w:numPr>
          <w:ilvl w:val="0"/>
          <w:numId w:val="22"/>
        </w:numPr>
      </w:pPr>
      <w:r w:rsidRPr="00E85A9F">
        <w:t>yhden 44x23 m salin, jonka vapaa korkeus tulee olemaan 7 metriä</w:t>
      </w:r>
    </w:p>
    <w:p w14:paraId="0AE0781E" w14:textId="77777777" w:rsidR="0063124E" w:rsidRDefault="0063124E" w:rsidP="0063124E">
      <w:pPr>
        <w:pStyle w:val="Luettelokappale"/>
        <w:numPr>
          <w:ilvl w:val="1"/>
          <w:numId w:val="22"/>
        </w:numPr>
      </w:pPr>
      <w:r>
        <w:t>sisältäen yhden äänieristämättömän jakoseinän, jolla tila voidaan jakaa kahteen osaan</w:t>
      </w:r>
    </w:p>
    <w:p w14:paraId="606CBF48" w14:textId="77777777" w:rsidR="0063124E" w:rsidRDefault="0063124E" w:rsidP="0063124E">
      <w:pPr>
        <w:pStyle w:val="Luettelokappale"/>
        <w:numPr>
          <w:ilvl w:val="0"/>
          <w:numId w:val="22"/>
        </w:numPr>
      </w:pPr>
      <w:r>
        <w:t>kuntosalin</w:t>
      </w:r>
    </w:p>
    <w:p w14:paraId="46F329B0" w14:textId="77777777" w:rsidR="0063124E" w:rsidRDefault="0063124E" w:rsidP="0063124E">
      <w:pPr>
        <w:pStyle w:val="Luettelokappale"/>
        <w:numPr>
          <w:ilvl w:val="0"/>
          <w:numId w:val="22"/>
        </w:numPr>
      </w:pPr>
      <w:r>
        <w:t>puku- ja pesutilat</w:t>
      </w:r>
    </w:p>
    <w:p w14:paraId="79931A6D" w14:textId="77777777" w:rsidR="0063124E" w:rsidRDefault="0063124E" w:rsidP="0063124E">
      <w:pPr>
        <w:pStyle w:val="Luettelokappale"/>
        <w:numPr>
          <w:ilvl w:val="0"/>
          <w:numId w:val="22"/>
        </w:numPr>
      </w:pPr>
      <w:r>
        <w:t>henkilökuntatilat</w:t>
      </w:r>
    </w:p>
    <w:p w14:paraId="1B69D178" w14:textId="77777777" w:rsidR="0063124E" w:rsidRDefault="0063124E" w:rsidP="0063124E">
      <w:pPr>
        <w:pStyle w:val="Luettelokappale"/>
        <w:numPr>
          <w:ilvl w:val="0"/>
          <w:numId w:val="22"/>
        </w:numPr>
      </w:pPr>
      <w:r>
        <w:t>kenttien huoltovarasto</w:t>
      </w:r>
    </w:p>
    <w:p w14:paraId="4595A476" w14:textId="77777777" w:rsidR="0063124E" w:rsidRDefault="0063124E" w:rsidP="0063124E">
      <w:pPr>
        <w:pStyle w:val="Luettelokappale"/>
        <w:numPr>
          <w:ilvl w:val="0"/>
          <w:numId w:val="22"/>
        </w:numPr>
      </w:pPr>
      <w:r>
        <w:t>viereistä ulkokenttää palvelevat pukutilat</w:t>
      </w:r>
    </w:p>
    <w:p w14:paraId="18D321BB" w14:textId="77777777" w:rsidR="00F90E05" w:rsidRDefault="0063124E" w:rsidP="00F90E05">
      <w:r>
        <w:t>Hallin kantavat rakenteet tehdään puusta.</w:t>
      </w:r>
    </w:p>
    <w:p w14:paraId="76C1B4C2" w14:textId="77777777" w:rsidR="00F90E05" w:rsidRDefault="00F90E05" w:rsidP="00F90E05">
      <w:r>
        <w:t xml:space="preserve">Hankkeen ja </w:t>
      </w:r>
      <w:r w:rsidR="00661050">
        <w:t>sen</w:t>
      </w:r>
      <w:r>
        <w:t xml:space="preserve"> toteutuksen tarkempi yksilöinti on esitetty seuraavissa tämän tarjouspyynnön liitteissä:</w:t>
      </w:r>
    </w:p>
    <w:p w14:paraId="00406EAA" w14:textId="77777777" w:rsidR="00F90E05" w:rsidRDefault="00F90E05" w:rsidP="00F90E05">
      <w:pPr>
        <w:pStyle w:val="Luettelokappale"/>
        <w:numPr>
          <w:ilvl w:val="0"/>
          <w:numId w:val="6"/>
        </w:numPr>
        <w:spacing w:after="0"/>
        <w:rPr>
          <w:lang w:eastAsia="fi-FI"/>
        </w:rPr>
      </w:pPr>
      <w:r>
        <w:rPr>
          <w:lang w:eastAsia="fi-FI"/>
        </w:rPr>
        <w:t>Liite 1: ”Hankeohjelma”</w:t>
      </w:r>
    </w:p>
    <w:p w14:paraId="42E230B9" w14:textId="77777777" w:rsidR="00F90E05" w:rsidRDefault="00F90E05" w:rsidP="00F90E05">
      <w:pPr>
        <w:pStyle w:val="Luettelokappale"/>
        <w:numPr>
          <w:ilvl w:val="0"/>
          <w:numId w:val="6"/>
        </w:numPr>
        <w:spacing w:after="0"/>
        <w:rPr>
          <w:lang w:eastAsia="fi-FI"/>
        </w:rPr>
      </w:pPr>
      <w:r>
        <w:rPr>
          <w:lang w:eastAsia="fi-FI"/>
        </w:rPr>
        <w:t xml:space="preserve">Liite </w:t>
      </w:r>
      <w:r w:rsidRPr="00795195">
        <w:t>2</w:t>
      </w:r>
      <w:r>
        <w:t>:</w:t>
      </w:r>
      <w:r w:rsidR="00A61088">
        <w:t xml:space="preserve"> ”</w:t>
      </w:r>
      <w:r w:rsidRPr="00795195">
        <w:rPr>
          <w:lang w:eastAsia="fi-FI"/>
        </w:rPr>
        <w:t>RT 10–11106</w:t>
      </w:r>
      <w:r>
        <w:rPr>
          <w:lang w:eastAsia="fi-FI"/>
        </w:rPr>
        <w:t xml:space="preserve"> Hanketietokortti HT12 (täytetty)”</w:t>
      </w:r>
    </w:p>
    <w:p w14:paraId="7A73EF30" w14:textId="77777777" w:rsidR="00A61088" w:rsidRDefault="00A61088" w:rsidP="00A61088">
      <w:pPr>
        <w:spacing w:after="0"/>
        <w:rPr>
          <w:lang w:eastAsia="fi-FI"/>
        </w:rPr>
      </w:pPr>
    </w:p>
    <w:p w14:paraId="4CAC05B0" w14:textId="77777777" w:rsidR="00A61088" w:rsidRDefault="00A61088" w:rsidP="00A61088">
      <w:pPr>
        <w:spacing w:after="0"/>
        <w:rPr>
          <w:lang w:eastAsia="fi-FI"/>
        </w:rPr>
      </w:pPr>
      <w:r>
        <w:rPr>
          <w:lang w:eastAsia="fi-FI"/>
        </w:rPr>
        <w:t>Liite 1 sisältää asemapiirroksen, johon on merkitty toimeksiantoa koskeva rakennus.</w:t>
      </w:r>
      <w:r w:rsidR="00E7211C">
        <w:rPr>
          <w:lang w:eastAsia="fi-FI"/>
        </w:rPr>
        <w:t xml:space="preserve"> Liitteessä 1 on kuvattu myös hankkeen arkkitehtoniset tavoitteet.</w:t>
      </w:r>
    </w:p>
    <w:p w14:paraId="7E631783" w14:textId="77777777" w:rsidR="008A54A6" w:rsidRDefault="008A54A6" w:rsidP="008A54A6">
      <w:pPr>
        <w:spacing w:after="0"/>
        <w:rPr>
          <w:lang w:eastAsia="fi-FI"/>
        </w:rPr>
      </w:pPr>
    </w:p>
    <w:p w14:paraId="3A89EFFB" w14:textId="77777777" w:rsidR="008A54A6" w:rsidRDefault="008A54A6" w:rsidP="008A54A6">
      <w:pPr>
        <w:pStyle w:val="Otsikko2"/>
        <w:rPr>
          <w:lang w:eastAsia="fi-FI"/>
        </w:rPr>
      </w:pPr>
      <w:bookmarkStart w:id="5" w:name="_Toc469570157"/>
      <w:r>
        <w:rPr>
          <w:lang w:eastAsia="fi-FI"/>
        </w:rPr>
        <w:t>Hankinnan kohde</w:t>
      </w:r>
      <w:bookmarkEnd w:id="5"/>
    </w:p>
    <w:p w14:paraId="58C83F88" w14:textId="77777777" w:rsidR="008A54A6" w:rsidRDefault="008A54A6" w:rsidP="008A54A6">
      <w:pPr>
        <w:rPr>
          <w:lang w:eastAsia="fi-FI"/>
        </w:rPr>
      </w:pPr>
      <w:r>
        <w:rPr>
          <w:lang w:eastAsia="fi-FI"/>
        </w:rPr>
        <w:t xml:space="preserve">Hankinnan kohteena on tämän tarjouspyynnön kohdassa 2.1 esitetyn liikuntahallin uudisrakennushankkeen </w:t>
      </w:r>
      <w:r w:rsidR="00360D9C">
        <w:rPr>
          <w:lang w:eastAsia="fi-FI"/>
        </w:rPr>
        <w:t xml:space="preserve">pää- ja </w:t>
      </w:r>
      <w:r w:rsidR="00952C3C">
        <w:rPr>
          <w:lang w:eastAsia="fi-FI"/>
        </w:rPr>
        <w:t>arkkitehtisuunnittelu</w:t>
      </w:r>
      <w:r>
        <w:rPr>
          <w:lang w:eastAsia="fi-FI"/>
        </w:rPr>
        <w:t xml:space="preserve">. </w:t>
      </w:r>
      <w:r w:rsidR="00952C3C">
        <w:rPr>
          <w:lang w:eastAsia="fi-FI"/>
        </w:rPr>
        <w:t>Arkkitehti</w:t>
      </w:r>
      <w:r>
        <w:rPr>
          <w:lang w:eastAsia="fi-FI"/>
        </w:rPr>
        <w:t>suunnittelu sisältää tämän tarjouspyynnön seuraavissa liitteissä esitetyt tehtävät:</w:t>
      </w:r>
    </w:p>
    <w:p w14:paraId="153A2BF6" w14:textId="77777777" w:rsidR="008771A0" w:rsidRDefault="008771A0" w:rsidP="00A16116">
      <w:pPr>
        <w:pStyle w:val="Luettelokappale"/>
        <w:numPr>
          <w:ilvl w:val="0"/>
          <w:numId w:val="6"/>
        </w:numPr>
        <w:spacing w:after="0"/>
        <w:rPr>
          <w:lang w:eastAsia="fi-FI"/>
        </w:rPr>
      </w:pPr>
      <w:r>
        <w:rPr>
          <w:lang w:eastAsia="fi-FI"/>
        </w:rPr>
        <w:lastRenderedPageBreak/>
        <w:t xml:space="preserve">Liite 2: </w:t>
      </w:r>
      <w:r>
        <w:t>”</w:t>
      </w:r>
      <w:r w:rsidRPr="00795195">
        <w:rPr>
          <w:lang w:eastAsia="fi-FI"/>
        </w:rPr>
        <w:t>RT 10–11106</w:t>
      </w:r>
      <w:r>
        <w:rPr>
          <w:lang w:eastAsia="fi-FI"/>
        </w:rPr>
        <w:t xml:space="preserve"> Hanketietokortti HT12 (täytetty)”</w:t>
      </w:r>
    </w:p>
    <w:p w14:paraId="73B530E4" w14:textId="4DB6594E" w:rsidR="00A16116" w:rsidRDefault="00A16116" w:rsidP="00A16116">
      <w:pPr>
        <w:pStyle w:val="Luettelokappale"/>
        <w:numPr>
          <w:ilvl w:val="0"/>
          <w:numId w:val="6"/>
        </w:numPr>
        <w:spacing w:after="0"/>
        <w:rPr>
          <w:lang w:eastAsia="fi-FI"/>
        </w:rPr>
      </w:pPr>
      <w:r>
        <w:rPr>
          <w:lang w:eastAsia="fi-FI"/>
        </w:rPr>
        <w:t xml:space="preserve">Liite 3: </w:t>
      </w:r>
      <w:r w:rsidR="00A61088">
        <w:rPr>
          <w:lang w:eastAsia="fi-FI"/>
        </w:rPr>
        <w:t>”</w:t>
      </w:r>
      <w:r w:rsidR="008D07F0">
        <w:rPr>
          <w:lang w:eastAsia="fi-FI"/>
        </w:rPr>
        <w:t>Arkkitehtisuunnittelun</w:t>
      </w:r>
      <w:r>
        <w:rPr>
          <w:lang w:eastAsia="fi-FI"/>
        </w:rPr>
        <w:t xml:space="preserve"> tehtäväluettelo </w:t>
      </w:r>
      <w:r w:rsidR="008D07F0">
        <w:rPr>
          <w:lang w:eastAsia="fi-FI"/>
        </w:rPr>
        <w:t>ARK</w:t>
      </w:r>
      <w:r w:rsidR="00A61088">
        <w:rPr>
          <w:lang w:eastAsia="fi-FI"/>
        </w:rPr>
        <w:t xml:space="preserve">12 </w:t>
      </w:r>
      <w:r>
        <w:rPr>
          <w:lang w:eastAsia="fi-FI"/>
        </w:rPr>
        <w:t>(rajauksin ja merkittyine lisätehtävineen)</w:t>
      </w:r>
      <w:r w:rsidR="00A61088">
        <w:rPr>
          <w:lang w:eastAsia="fi-FI"/>
        </w:rPr>
        <w:t>”</w:t>
      </w:r>
      <w:r w:rsidR="00AA626E">
        <w:rPr>
          <w:lang w:eastAsia="fi-FI"/>
        </w:rPr>
        <w:t xml:space="preserve"> </w:t>
      </w:r>
      <w:r w:rsidR="00AA626E" w:rsidRPr="00AA2D47">
        <w:rPr>
          <w:color w:val="538135" w:themeColor="accent6" w:themeShade="BF"/>
          <w:lang w:eastAsia="fi-FI"/>
        </w:rPr>
        <w:t>(Mahdollisten</w:t>
      </w:r>
      <w:r w:rsidR="00F928EA" w:rsidRPr="00AA2D47">
        <w:rPr>
          <w:color w:val="538135" w:themeColor="accent6" w:themeShade="BF"/>
          <w:lang w:eastAsia="fi-FI"/>
        </w:rPr>
        <w:t xml:space="preserve"> merkittyjen</w:t>
      </w:r>
      <w:r w:rsidR="00AA626E" w:rsidRPr="00AA2D47">
        <w:rPr>
          <w:color w:val="538135" w:themeColor="accent6" w:themeShade="BF"/>
          <w:lang w:eastAsia="fi-FI"/>
        </w:rPr>
        <w:t xml:space="preserve"> lisätehtävien osalta on yleisesti tarpeen esittää täsmentäviä tietoja tehtäväluetteloa täydentävillä asiakirjoilla)</w:t>
      </w:r>
    </w:p>
    <w:p w14:paraId="09218155" w14:textId="1C8E22C7" w:rsidR="00D64A1D" w:rsidRDefault="00D64A1D" w:rsidP="00D64A1D">
      <w:pPr>
        <w:pStyle w:val="Luettelokappale"/>
        <w:numPr>
          <w:ilvl w:val="0"/>
          <w:numId w:val="6"/>
        </w:numPr>
        <w:spacing w:after="0"/>
        <w:rPr>
          <w:lang w:eastAsia="fi-FI"/>
        </w:rPr>
      </w:pPr>
      <w:r>
        <w:rPr>
          <w:lang w:eastAsia="fi-FI"/>
        </w:rPr>
        <w:t>Liite 4: ”Pääsuunnittelun tehtäväluettelo PS12 (rajauksin ja merkittyine lisätehtävineen)”</w:t>
      </w:r>
      <w:r w:rsidR="00914B46" w:rsidRPr="00AA2D47">
        <w:rPr>
          <w:color w:val="385623" w:themeColor="accent6" w:themeShade="80"/>
          <w:lang w:eastAsia="fi-FI"/>
        </w:rPr>
        <w:t xml:space="preserve"> </w:t>
      </w:r>
      <w:r w:rsidR="00914B46" w:rsidRPr="00AA2D47">
        <w:rPr>
          <w:color w:val="538135" w:themeColor="accent6" w:themeShade="BF"/>
          <w:lang w:eastAsia="fi-FI"/>
        </w:rPr>
        <w:t>(Mahdollisten</w:t>
      </w:r>
      <w:r w:rsidR="00F928EA" w:rsidRPr="00AA2D47">
        <w:rPr>
          <w:color w:val="538135" w:themeColor="accent6" w:themeShade="BF"/>
          <w:lang w:eastAsia="fi-FI"/>
        </w:rPr>
        <w:t xml:space="preserve"> merkittyjen</w:t>
      </w:r>
      <w:r w:rsidR="00914B46" w:rsidRPr="00AA2D47">
        <w:rPr>
          <w:color w:val="538135" w:themeColor="accent6" w:themeShade="BF"/>
          <w:lang w:eastAsia="fi-FI"/>
        </w:rPr>
        <w:t xml:space="preserve"> lisätehtävien osalta on yleisesti tarpeen esittää täsmentäviä tietoja tehtäväluetteloa täydentävillä asiakirjoilla)</w:t>
      </w:r>
    </w:p>
    <w:p w14:paraId="656B5FEF" w14:textId="77777777" w:rsidR="008A54A6" w:rsidRDefault="00D64A1D" w:rsidP="00A16116">
      <w:pPr>
        <w:pStyle w:val="Luettelokappale"/>
        <w:numPr>
          <w:ilvl w:val="0"/>
          <w:numId w:val="6"/>
        </w:numPr>
        <w:spacing w:after="0"/>
        <w:rPr>
          <w:lang w:eastAsia="fi-FI"/>
        </w:rPr>
      </w:pPr>
      <w:r>
        <w:rPr>
          <w:lang w:eastAsia="fi-FI"/>
        </w:rPr>
        <w:t>Liite 5</w:t>
      </w:r>
      <w:r w:rsidR="00D274C4">
        <w:rPr>
          <w:lang w:eastAsia="fi-FI"/>
        </w:rPr>
        <w:t>: ”</w:t>
      </w:r>
      <w:r w:rsidR="00F846D2">
        <w:rPr>
          <w:lang w:eastAsia="fi-FI"/>
        </w:rPr>
        <w:t>Hankekohtainen s</w:t>
      </w:r>
      <w:r w:rsidR="00D274C4">
        <w:rPr>
          <w:lang w:eastAsia="fi-FI"/>
        </w:rPr>
        <w:t>uunnitteluohje”</w:t>
      </w:r>
    </w:p>
    <w:p w14:paraId="634C4DA8" w14:textId="77777777" w:rsidR="00F846D2" w:rsidRDefault="00F846D2" w:rsidP="00A16116">
      <w:pPr>
        <w:pStyle w:val="Luettelokappale"/>
        <w:numPr>
          <w:ilvl w:val="0"/>
          <w:numId w:val="6"/>
        </w:numPr>
        <w:spacing w:after="0"/>
        <w:rPr>
          <w:lang w:eastAsia="fi-FI"/>
        </w:rPr>
      </w:pPr>
      <w:r>
        <w:rPr>
          <w:lang w:eastAsia="fi-FI"/>
        </w:rPr>
        <w:t>Liite</w:t>
      </w:r>
      <w:r w:rsidR="00D64A1D">
        <w:rPr>
          <w:lang w:eastAsia="fi-FI"/>
        </w:rPr>
        <w:t xml:space="preserve"> 9</w:t>
      </w:r>
      <w:r>
        <w:rPr>
          <w:lang w:eastAsia="fi-FI"/>
        </w:rPr>
        <w:t>: ”</w:t>
      </w:r>
      <w:r w:rsidR="00A50683">
        <w:rPr>
          <w:lang w:eastAsia="fi-FI"/>
        </w:rPr>
        <w:t>Arkkitehtisuunnittelun</w:t>
      </w:r>
      <w:r>
        <w:rPr>
          <w:lang w:eastAsia="fi-FI"/>
        </w:rPr>
        <w:t xml:space="preserve"> rajapinnat”</w:t>
      </w:r>
    </w:p>
    <w:p w14:paraId="014C0D36" w14:textId="77777777" w:rsidR="000B6909" w:rsidRDefault="000B6909" w:rsidP="000B6909">
      <w:pPr>
        <w:pStyle w:val="Luettelokappale"/>
        <w:spacing w:after="0"/>
        <w:rPr>
          <w:lang w:eastAsia="fi-FI"/>
        </w:rPr>
      </w:pPr>
    </w:p>
    <w:p w14:paraId="5DA388A9" w14:textId="77777777" w:rsidR="000B6909" w:rsidRDefault="000B6909" w:rsidP="00A16116">
      <w:pPr>
        <w:rPr>
          <w:lang w:eastAsia="fi-FI"/>
        </w:rPr>
      </w:pPr>
      <w:r>
        <w:rPr>
          <w:lang w:eastAsia="fi-FI"/>
        </w:rPr>
        <w:t>Suunnitteluohjeessa on esitetty suunnittelun yleiset linjaukset, kokouskäytännöt, dokumentointivaatimukset, suunnittelualoittain huomioitavat asiat ja ylläpidon sekä operatiivisen toiminnan huomioiminen suunnittelussa.</w:t>
      </w:r>
    </w:p>
    <w:p w14:paraId="65BEB680" w14:textId="77777777" w:rsidR="00937203" w:rsidRDefault="00937203" w:rsidP="00A16116">
      <w:r>
        <w:t>Hankkeen suunnittelu tehdään tietomallintamalla (tarkempi kuvaus liitteessä 5 ”Hankekohtainen suunnitteluohje”). Arkkitehtisuunnittelun tietomallinnuksen tarkkuustaso on Yleisten tietomallivaatimusten 2012 (RT 10-11068) osan 3 mukainen ”taso 2”.</w:t>
      </w:r>
    </w:p>
    <w:p w14:paraId="606C4283" w14:textId="77777777" w:rsidR="00602861" w:rsidRDefault="00602861" w:rsidP="00A16116">
      <w:pPr>
        <w:rPr>
          <w:lang w:eastAsia="fi-FI"/>
        </w:rPr>
      </w:pPr>
      <w:r>
        <w:rPr>
          <w:lang w:eastAsia="fi-FI"/>
        </w:rPr>
        <w:t>Hankkeen työkieli on suomi ja kaikki suunnitelmat toteutetaan suomenkielisinä</w:t>
      </w:r>
      <w:r w:rsidR="009647CF">
        <w:rPr>
          <w:lang w:eastAsia="fi-FI"/>
        </w:rPr>
        <w:t>, ellei suunnitteluohjeessa ole toisin mainittu</w:t>
      </w:r>
      <w:r>
        <w:rPr>
          <w:lang w:eastAsia="fi-FI"/>
        </w:rPr>
        <w:t xml:space="preserve">. </w:t>
      </w:r>
    </w:p>
    <w:p w14:paraId="344078A7" w14:textId="77777777" w:rsidR="00C4561A" w:rsidRDefault="00C4561A" w:rsidP="00C4561A">
      <w:pPr>
        <w:pStyle w:val="Otsikko1"/>
        <w:rPr>
          <w:lang w:eastAsia="fi-FI"/>
        </w:rPr>
      </w:pPr>
      <w:bookmarkStart w:id="6" w:name="_Toc469570158"/>
      <w:bookmarkStart w:id="7" w:name="_Toc469570273"/>
      <w:r>
        <w:rPr>
          <w:lang w:eastAsia="fi-FI"/>
        </w:rPr>
        <w:t>Hankintamenettely</w:t>
      </w:r>
      <w:bookmarkEnd w:id="6"/>
      <w:bookmarkEnd w:id="7"/>
    </w:p>
    <w:p w14:paraId="28616913" w14:textId="77777777" w:rsidR="00C4561A" w:rsidRDefault="00C4561A" w:rsidP="00C4561A">
      <w:r>
        <w:t>Hankintamenettelynä käytetään hankintalain 33</w:t>
      </w:r>
      <w:r w:rsidRPr="00C80CF9">
        <w:t xml:space="preserve"> §:ssä </w:t>
      </w:r>
      <w:r w:rsidRPr="00C4561A">
        <w:t xml:space="preserve">tarkoitettua rajoitettua menettelyä. </w:t>
      </w:r>
      <w:r>
        <w:t>Hankintayksikkö valitsee tarjoajaksi hyväksyttävät ehdokkaat osallistumishakemukset jättäneistä ehdokkaista. Ta</w:t>
      </w:r>
      <w:r w:rsidR="001B51F3">
        <w:t>rjoajiksi hyväksytään viisi</w:t>
      </w:r>
      <w:r w:rsidR="00F57CAA">
        <w:t xml:space="preserve"> (5)</w:t>
      </w:r>
      <w:r>
        <w:t xml:space="preserve"> ehdokasta</w:t>
      </w:r>
      <w:r w:rsidR="001B51F3">
        <w:t>, jollei soveltuvia ehdokkaita ole vähemmän</w:t>
      </w:r>
      <w:r>
        <w:t xml:space="preserve">. </w:t>
      </w:r>
    </w:p>
    <w:p w14:paraId="3C08BF8A" w14:textId="452994A3" w:rsidR="00C4561A" w:rsidRPr="00C4561A" w:rsidRDefault="00C4561A" w:rsidP="00C4561A">
      <w:pPr>
        <w:rPr>
          <w:lang w:eastAsia="fi-FI"/>
        </w:rPr>
      </w:pPr>
      <w:r>
        <w:t xml:space="preserve">Jos kohdissa </w:t>
      </w:r>
      <w:r w:rsidR="00540279">
        <w:t>4.1–4.3</w:t>
      </w:r>
      <w:r>
        <w:t xml:space="preserve"> esitettyjen soveltuvuuden vähimmäisvaatimukset täyttä</w:t>
      </w:r>
      <w:r w:rsidR="000D33D9">
        <w:t xml:space="preserve">viä ehdokkaita on enemmän kuin </w:t>
      </w:r>
      <w:r w:rsidR="005A1066">
        <w:t>viisi (</w:t>
      </w:r>
      <w:r w:rsidR="000D33D9">
        <w:t>5</w:t>
      </w:r>
      <w:r w:rsidR="005A1066">
        <w:t>)</w:t>
      </w:r>
      <w:r>
        <w:t xml:space="preserve">, sovelletaan kohdassa 4.4 </w:t>
      </w:r>
      <w:r w:rsidR="00491710" w:rsidRPr="00491710">
        <w:t>esitettyjä perusteita vähimmäisvaatimukset täyttävien ehdokkaiden määrän rajaamiseen.</w:t>
      </w:r>
    </w:p>
    <w:p w14:paraId="36A8EF78" w14:textId="77777777" w:rsidR="00515EA0" w:rsidRDefault="00515EA0" w:rsidP="00515EA0">
      <w:pPr>
        <w:pStyle w:val="Otsikko1"/>
        <w:rPr>
          <w:lang w:eastAsia="fi-FI"/>
        </w:rPr>
      </w:pPr>
      <w:bookmarkStart w:id="8" w:name="_Toc469570159"/>
      <w:bookmarkStart w:id="9" w:name="_Toc469570274"/>
      <w:r>
        <w:rPr>
          <w:lang w:eastAsia="fi-FI"/>
        </w:rPr>
        <w:t>Osallistumisvaatimukset</w:t>
      </w:r>
      <w:bookmarkEnd w:id="8"/>
      <w:bookmarkEnd w:id="9"/>
    </w:p>
    <w:p w14:paraId="09F79C5F" w14:textId="605C099D" w:rsidR="0038728F" w:rsidRPr="00447C1A" w:rsidRDefault="0038728F" w:rsidP="0038728F">
      <w:pPr>
        <w:rPr>
          <w:lang w:eastAsia="fi-FI"/>
        </w:rPr>
      </w:pPr>
      <w:r w:rsidRPr="00447C1A">
        <w:rPr>
          <w:highlight w:val="yellow"/>
          <w:lang w:eastAsia="fi-FI"/>
        </w:rPr>
        <w:t xml:space="preserve">Toimittaja suljetaan pois tarjouskilpailusta, jos </w:t>
      </w:r>
      <w:r w:rsidR="00361FC7" w:rsidRPr="00447C1A">
        <w:rPr>
          <w:highlight w:val="yellow"/>
          <w:lang w:eastAsia="fi-FI"/>
        </w:rPr>
        <w:t>sitä</w:t>
      </w:r>
      <w:r w:rsidRPr="00447C1A">
        <w:rPr>
          <w:highlight w:val="yellow"/>
          <w:lang w:eastAsia="fi-FI"/>
        </w:rPr>
        <w:t xml:space="preserve"> koskee jokin hankintalain 80 §:n pakollinen poissulkemisperuste. </w:t>
      </w:r>
      <w:r w:rsidR="00A76740" w:rsidRPr="00447C1A">
        <w:rPr>
          <w:highlight w:val="yellow"/>
          <w:lang w:eastAsia="fi-FI"/>
        </w:rPr>
        <w:t>Toimittaja</w:t>
      </w:r>
      <w:r w:rsidRPr="00447C1A">
        <w:rPr>
          <w:highlight w:val="yellow"/>
          <w:lang w:eastAsia="fi-FI"/>
        </w:rPr>
        <w:t xml:space="preserve"> voidaan sulkea pois tarjouskilpailusta, jos </w:t>
      </w:r>
      <w:r w:rsidR="00A76740" w:rsidRPr="00447C1A">
        <w:rPr>
          <w:highlight w:val="yellow"/>
          <w:lang w:eastAsia="fi-FI"/>
        </w:rPr>
        <w:t>sitä</w:t>
      </w:r>
      <w:r w:rsidRPr="00447C1A">
        <w:rPr>
          <w:highlight w:val="yellow"/>
          <w:lang w:eastAsia="fi-FI"/>
        </w:rPr>
        <w:t xml:space="preserve"> koskee jokin hankintalain 81 §:n harkinnanvarainen poissulkemisperuste.</w:t>
      </w:r>
    </w:p>
    <w:p w14:paraId="7B36B0D0" w14:textId="77777777" w:rsidR="0038728F" w:rsidRDefault="0038728F" w:rsidP="0038728F">
      <w:pPr>
        <w:rPr>
          <w:lang w:eastAsia="fi-FI"/>
        </w:rPr>
      </w:pPr>
      <w:r>
        <w:rPr>
          <w:lang w:eastAsia="fi-FI"/>
        </w:rPr>
        <w:t>Toimittajan tulee täyttää kohdissa 4.1–4.3 esitetyt toimittajan soveltuvuutt</w:t>
      </w:r>
      <w:r w:rsidR="00C82035">
        <w:rPr>
          <w:lang w:eastAsia="fi-FI"/>
        </w:rPr>
        <w:t>a koskevat vähimmäisvaatimukset.</w:t>
      </w:r>
    </w:p>
    <w:p w14:paraId="7C2A26A0" w14:textId="0678092B" w:rsidR="0038728F" w:rsidRDefault="0038728F" w:rsidP="0038728F">
      <w:r>
        <w:rPr>
          <w:lang w:eastAsia="fi-FI"/>
        </w:rPr>
        <w:t>Toimittajan tulee alustavana näyttönä esittää täytetty hankintayksikön esitäyttämä Yhteinen eurooppalainen hankinta-asiakirja</w:t>
      </w:r>
      <w:r w:rsidR="004B7071" w:rsidRPr="00447C1A">
        <w:rPr>
          <w:lang w:eastAsia="fi-FI"/>
        </w:rPr>
        <w:t xml:space="preserve"> </w:t>
      </w:r>
      <w:r w:rsidR="00777FA6" w:rsidRPr="00447C1A">
        <w:rPr>
          <w:highlight w:val="yellow"/>
          <w:lang w:eastAsia="fi-FI"/>
        </w:rPr>
        <w:t>ESPD</w:t>
      </w:r>
      <w:r w:rsidR="00777FA6" w:rsidRPr="00447C1A">
        <w:rPr>
          <w:lang w:eastAsia="fi-FI"/>
        </w:rPr>
        <w:t xml:space="preserve"> </w:t>
      </w:r>
      <w:r w:rsidR="004B7071">
        <w:rPr>
          <w:lang w:eastAsia="fi-FI"/>
        </w:rPr>
        <w:t>(liite 9)</w:t>
      </w:r>
      <w:r>
        <w:rPr>
          <w:lang w:eastAsia="fi-FI"/>
        </w:rPr>
        <w:t xml:space="preserve"> siitä, ettei sitä rasita hankintalain 80 tai 81 §:ssä tarkoitetut pakolliset ja harkinnanvaraiset poissulkemisperusteet ja, että se täyttää hankintayksikön tässä tarjouspyynnössä esittämät soveltuvuuden vähimmäisvaatimukset (esitetty kohdissa 4.1–4.3). </w:t>
      </w:r>
    </w:p>
    <w:p w14:paraId="7818CD1F" w14:textId="77777777" w:rsidR="00E608BA" w:rsidRDefault="00E608BA" w:rsidP="00E608BA">
      <w:pPr>
        <w:rPr>
          <w:lang w:eastAsia="fi-FI"/>
        </w:rPr>
      </w:pPr>
      <w:r>
        <w:t xml:space="preserve">Valitun toimittajan tulee ennen hankintasopimuksen tekemistä osoittaa Yhteisen eurooppalaisen hankinta-asiakirjan paikkansapitävyys liitteessä 7 </w:t>
      </w:r>
      <w:r>
        <w:rPr>
          <w:lang w:eastAsia="fi-FI"/>
        </w:rPr>
        <w:t xml:space="preserve">”Luettelo tarjoukseen </w:t>
      </w:r>
      <w:r>
        <w:rPr>
          <w:lang w:eastAsia="fi-FI"/>
        </w:rPr>
        <w:lastRenderedPageBreak/>
        <w:t>liitettävistä asiakirjoista ja soveltuvuusvaatimusten täyttymisen osoittamiseksi toimitettavista asiakirjoista” tarkoitetuilla todistuksilla ja selvityksillä</w:t>
      </w:r>
      <w:r w:rsidR="008E0FE1">
        <w:rPr>
          <w:lang w:eastAsia="fi-FI"/>
        </w:rPr>
        <w:t>.</w:t>
      </w:r>
    </w:p>
    <w:p w14:paraId="6A8207FC" w14:textId="509B8BD7" w:rsidR="004B7071" w:rsidRPr="00357582" w:rsidRDefault="004B7071" w:rsidP="00E608BA">
      <w:pPr>
        <w:rPr>
          <w:lang w:eastAsia="fi-FI"/>
        </w:rPr>
      </w:pPr>
      <w:r w:rsidRPr="00BE6C3E">
        <w:rPr>
          <w:lang w:eastAsia="fi-FI"/>
        </w:rPr>
        <w:t>Toimittajan ja sen alihankkijoiden tulee täyttää tilaajavastuulain 5 §:n mukaiset vaatimukset. Vaatimusten täyttyminen selvitetään ennen hankintasopimuksen tekemistä tilaajavastuulain 5 §:</w:t>
      </w:r>
      <w:r w:rsidR="00B6772A" w:rsidRPr="00B6772A">
        <w:rPr>
          <w:highlight w:val="yellow"/>
          <w:lang w:eastAsia="fi-FI"/>
        </w:rPr>
        <w:t>ssä</w:t>
      </w:r>
      <w:r w:rsidRPr="00BE6C3E">
        <w:rPr>
          <w:lang w:eastAsia="fi-FI"/>
        </w:rPr>
        <w:t xml:space="preserve"> tarkoitetuin todistuksin ja selvityksin.</w:t>
      </w:r>
      <w:r>
        <w:rPr>
          <w:lang w:eastAsia="fi-FI"/>
        </w:rPr>
        <w:t xml:space="preserve"> </w:t>
      </w:r>
    </w:p>
    <w:p w14:paraId="197933C7" w14:textId="77777777" w:rsidR="00694258" w:rsidRDefault="00802AD5" w:rsidP="00694258">
      <w:pPr>
        <w:pStyle w:val="Otsikko2"/>
        <w:rPr>
          <w:lang w:eastAsia="fi-FI"/>
        </w:rPr>
      </w:pPr>
      <w:bookmarkStart w:id="10" w:name="_Toc469570160"/>
      <w:r>
        <w:rPr>
          <w:lang w:eastAsia="fi-FI"/>
        </w:rPr>
        <w:t>Oikeus harjoittaa ammatti- ja elinkeinotoimintaa</w:t>
      </w:r>
      <w:bookmarkEnd w:id="10"/>
    </w:p>
    <w:p w14:paraId="59C41BFA" w14:textId="77777777" w:rsidR="00523EE1" w:rsidRDefault="00523EE1" w:rsidP="00523EE1">
      <w:pPr>
        <w:spacing w:after="240"/>
      </w:pPr>
      <w:r>
        <w:t xml:space="preserve">Toimittajalla tulee olla oikeus harjoittaa ammatti- tai elinkeinotoimintaa sijoittumismaassaan. </w:t>
      </w:r>
    </w:p>
    <w:p w14:paraId="537238FC" w14:textId="49AB8594" w:rsidR="00523EE1" w:rsidRDefault="00523EE1" w:rsidP="00523EE1">
      <w:pPr>
        <w:spacing w:after="0"/>
      </w:pPr>
      <w:r>
        <w:t>Vaatimusten täyttymisen</w:t>
      </w:r>
      <w:r w:rsidR="00F6140C">
        <w:t xml:space="preserve"> ja </w:t>
      </w:r>
      <w:proofErr w:type="spellStart"/>
      <w:r w:rsidR="00F6140C" w:rsidRPr="00F6140C">
        <w:rPr>
          <w:highlight w:val="yellow"/>
        </w:rPr>
        <w:t>ESPD:n</w:t>
      </w:r>
      <w:proofErr w:type="spellEnd"/>
      <w:r w:rsidR="00F6140C" w:rsidRPr="00F6140C">
        <w:rPr>
          <w:highlight w:val="yellow"/>
        </w:rPr>
        <w:t xml:space="preserve"> paikkansapitävyyden</w:t>
      </w:r>
      <w:r>
        <w:t xml:space="preserve"> osoittamiseksi valitun toimittajan tulee toimittaa ennen hankintasopimuksen tekemistä hankintayksikölle jokin seuraavista:</w:t>
      </w:r>
    </w:p>
    <w:p w14:paraId="6000FC5A" w14:textId="77777777" w:rsidR="00523EE1" w:rsidRDefault="00523EE1" w:rsidP="00523EE1">
      <w:pPr>
        <w:pStyle w:val="Luettelokappale"/>
        <w:numPr>
          <w:ilvl w:val="0"/>
          <w:numId w:val="21"/>
        </w:numPr>
        <w:spacing w:after="240"/>
      </w:pPr>
      <w:r>
        <w:t>Rekisteriote siitä, että toimittaja on rekisteröity ammatti- tai elinkeinorekisteriin</w:t>
      </w:r>
    </w:p>
    <w:p w14:paraId="20DDFC9D" w14:textId="77777777" w:rsidR="00523EE1" w:rsidRDefault="00523EE1" w:rsidP="00523EE1">
      <w:pPr>
        <w:pStyle w:val="Luettelokappale"/>
        <w:numPr>
          <w:ilvl w:val="0"/>
          <w:numId w:val="21"/>
        </w:numPr>
        <w:spacing w:after="240"/>
      </w:pPr>
      <w:r>
        <w:t>Valaehtoinen ilmoitus tai todistus siitä, että toimittaja harjoittaa elinkeinotoimintaa</w:t>
      </w:r>
    </w:p>
    <w:p w14:paraId="7F30C66F" w14:textId="77777777" w:rsidR="00523EE1" w:rsidRDefault="00523EE1" w:rsidP="00523EE1">
      <w:pPr>
        <w:pStyle w:val="Luettelokappale"/>
        <w:numPr>
          <w:ilvl w:val="0"/>
          <w:numId w:val="21"/>
        </w:numPr>
        <w:spacing w:after="240"/>
      </w:pPr>
      <w:r>
        <w:t>Toimilupa tai järjestön jäsenyyttä koskeva todistus siitä, että toimittaja on oikeutettu palvelun tarjoamiseen sijoittumismaassaan</w:t>
      </w:r>
    </w:p>
    <w:p w14:paraId="0D398165" w14:textId="77777777" w:rsidR="00515EA0" w:rsidRDefault="00515EA0" w:rsidP="00515EA0">
      <w:pPr>
        <w:pStyle w:val="Otsikko2"/>
        <w:rPr>
          <w:lang w:eastAsia="fi-FI"/>
        </w:rPr>
      </w:pPr>
      <w:bookmarkStart w:id="11" w:name="_Toc469570161"/>
      <w:r>
        <w:rPr>
          <w:lang w:eastAsia="fi-FI"/>
        </w:rPr>
        <w:t>Vaatimukset taloudellisesta ja rahoituksellisesta tilanteesta</w:t>
      </w:r>
      <w:bookmarkEnd w:id="11"/>
    </w:p>
    <w:p w14:paraId="7225B6E9" w14:textId="77777777" w:rsidR="00F93047" w:rsidRDefault="00F93047" w:rsidP="00F93047">
      <w:pPr>
        <w:spacing w:after="240"/>
      </w:pPr>
      <w:r>
        <w:t>Toimittajan tulee täyttää seuraavat taloudellista ja rahoituksellista tilannetta koskevat vaatimukset:</w:t>
      </w:r>
    </w:p>
    <w:p w14:paraId="2BE703D4" w14:textId="77777777" w:rsidR="00F93047" w:rsidRDefault="00F93047" w:rsidP="00F93047">
      <w:pPr>
        <w:pStyle w:val="Luettelokappale"/>
        <w:numPr>
          <w:ilvl w:val="0"/>
          <w:numId w:val="20"/>
        </w:numPr>
        <w:spacing w:after="240"/>
      </w:pPr>
      <w:r>
        <w:t xml:space="preserve">Toimittajalla tulee olla </w:t>
      </w:r>
      <w:r w:rsidR="00103EEA">
        <w:t>voimassa oleva</w:t>
      </w:r>
      <w:r>
        <w:t xml:space="preserve"> konsulttivastuuvakuutus, joka kattaa vähintään toimeksiannon palkkion KSE 2013 kohdan 3.2.3 mukaisesti</w:t>
      </w:r>
    </w:p>
    <w:p w14:paraId="588AA72B" w14:textId="424503C7" w:rsidR="00F93047" w:rsidRDefault="00F93047" w:rsidP="00F93047">
      <w:pPr>
        <w:pStyle w:val="Luettelokappale"/>
        <w:numPr>
          <w:ilvl w:val="0"/>
          <w:numId w:val="20"/>
        </w:numPr>
        <w:spacing w:after="240"/>
      </w:pPr>
      <w:r>
        <w:t xml:space="preserve">Toimittajan viimeisimmän kokonaisen tilikauden liikevaihdon tulee olla vähintään </w:t>
      </w:r>
      <w:r w:rsidR="00356784" w:rsidRPr="006A0F5A">
        <w:t>x</w:t>
      </w:r>
      <w:r>
        <w:t xml:space="preserve"> kertaa hankinnan ennak</w:t>
      </w:r>
      <w:r w:rsidR="002E50E4">
        <w:t>oidun arvon suuruinen</w:t>
      </w:r>
      <w:r w:rsidR="00356784">
        <w:t xml:space="preserve"> </w:t>
      </w:r>
      <w:r w:rsidR="00356784" w:rsidRPr="00CF3EDE">
        <w:rPr>
          <w:color w:val="538135" w:themeColor="accent6" w:themeShade="BF"/>
        </w:rPr>
        <w:t>(hankintalain mukaisesti vaadittava vähimmäisliikevaihto voi olla enintään 2 kertaa hankinnan ennakoidun arvon suuruinen)</w:t>
      </w:r>
    </w:p>
    <w:p w14:paraId="5A3BFD94" w14:textId="77777777" w:rsidR="002E50E4" w:rsidRDefault="003E3178" w:rsidP="002E50E4">
      <w:pPr>
        <w:pStyle w:val="Luettelokappale"/>
        <w:numPr>
          <w:ilvl w:val="1"/>
          <w:numId w:val="20"/>
        </w:numPr>
        <w:spacing w:after="240"/>
      </w:pPr>
      <w:r>
        <w:t>Hankinnan e</w:t>
      </w:r>
      <w:r w:rsidR="002E50E4">
        <w:t>nnakoitu arvo</w:t>
      </w:r>
      <w:r>
        <w:t xml:space="preserve"> on</w:t>
      </w:r>
      <w:r w:rsidR="002E50E4">
        <w:t xml:space="preserve"> esitetty hankintailmoituksessa</w:t>
      </w:r>
    </w:p>
    <w:p w14:paraId="4A7BF241" w14:textId="77777777" w:rsidR="00515EA0" w:rsidRDefault="00515EA0" w:rsidP="00515EA0">
      <w:pPr>
        <w:pStyle w:val="Otsikko2"/>
        <w:rPr>
          <w:lang w:eastAsia="fi-FI"/>
        </w:rPr>
      </w:pPr>
      <w:bookmarkStart w:id="12" w:name="_Toc469570162"/>
      <w:r>
        <w:rPr>
          <w:lang w:eastAsia="fi-FI"/>
        </w:rPr>
        <w:t xml:space="preserve">Vaatimukset tekniselle </w:t>
      </w:r>
      <w:r w:rsidR="00530E69">
        <w:rPr>
          <w:lang w:eastAsia="fi-FI"/>
        </w:rPr>
        <w:t xml:space="preserve">suorituskyvylle </w:t>
      </w:r>
      <w:r>
        <w:rPr>
          <w:lang w:eastAsia="fi-FI"/>
        </w:rPr>
        <w:t>ja ammatilliselle pätevyydelle</w:t>
      </w:r>
      <w:bookmarkEnd w:id="12"/>
    </w:p>
    <w:p w14:paraId="10097923" w14:textId="77777777" w:rsidR="00F93047" w:rsidRDefault="00F93047" w:rsidP="00F93047">
      <w:pPr>
        <w:spacing w:after="240"/>
      </w:pPr>
      <w:r>
        <w:t>Toimittajan tulee täyttää seuraavat teknistä suorituskykyä ja ammatillista pätevyyttä koskevat vaatimukset:</w:t>
      </w:r>
    </w:p>
    <w:p w14:paraId="5678FF2B" w14:textId="06CDB6A4" w:rsidR="00CA4E32" w:rsidRDefault="00023F67" w:rsidP="00F93047">
      <w:pPr>
        <w:pStyle w:val="Luettelokappale"/>
        <w:numPr>
          <w:ilvl w:val="0"/>
          <w:numId w:val="19"/>
        </w:numPr>
        <w:rPr>
          <w:lang w:eastAsia="fi-FI"/>
        </w:rPr>
      </w:pPr>
      <w:r w:rsidRPr="00023F67">
        <w:rPr>
          <w:highlight w:val="yellow"/>
          <w:lang w:eastAsia="fi-FI"/>
        </w:rPr>
        <w:t>Toimittajalla</w:t>
      </w:r>
      <w:r w:rsidR="00CA4E32">
        <w:rPr>
          <w:lang w:eastAsia="fi-FI"/>
        </w:rPr>
        <w:t xml:space="preserve"> tulee olla vähintään </w:t>
      </w:r>
      <w:r w:rsidR="00356784" w:rsidRPr="007A4F2E">
        <w:rPr>
          <w:lang w:eastAsia="fi-FI"/>
        </w:rPr>
        <w:t>x</w:t>
      </w:r>
      <w:r w:rsidR="00CA4E32">
        <w:rPr>
          <w:lang w:eastAsia="fi-FI"/>
        </w:rPr>
        <w:t xml:space="preserve"> kpl saman toimialan ja vähintään saman suuruusluokan referenssiä viimeisen </w:t>
      </w:r>
      <w:r w:rsidR="00356784" w:rsidRPr="007A4F2E">
        <w:rPr>
          <w:lang w:eastAsia="fi-FI"/>
        </w:rPr>
        <w:t>x</w:t>
      </w:r>
      <w:r w:rsidR="00CA4E32">
        <w:rPr>
          <w:lang w:eastAsia="fi-FI"/>
        </w:rPr>
        <w:t xml:space="preserve"> vuoden ajalta. </w:t>
      </w:r>
      <w:r w:rsidR="00A029E9">
        <w:rPr>
          <w:lang w:eastAsia="fi-FI"/>
        </w:rPr>
        <w:t xml:space="preserve">Saman toimialan ja vähintään saman suurusluokan referenssiksi katsotaan </w:t>
      </w:r>
      <w:r w:rsidR="006070CE">
        <w:rPr>
          <w:lang w:eastAsia="fi-FI"/>
        </w:rPr>
        <w:t>kokoontumistiloja sisältävien yli</w:t>
      </w:r>
      <w:r w:rsidR="00A029E9">
        <w:rPr>
          <w:lang w:eastAsia="fi-FI"/>
        </w:rPr>
        <w:t xml:space="preserve"> </w:t>
      </w:r>
      <w:r w:rsidR="00356784" w:rsidRPr="007A4F2E">
        <w:rPr>
          <w:lang w:eastAsia="fi-FI"/>
        </w:rPr>
        <w:t>x</w:t>
      </w:r>
      <w:r w:rsidR="00A029E9">
        <w:rPr>
          <w:lang w:eastAsia="fi-FI"/>
        </w:rPr>
        <w:t xml:space="preserve"> brm2 kohte</w:t>
      </w:r>
      <w:r w:rsidR="006070CE">
        <w:rPr>
          <w:lang w:eastAsia="fi-FI"/>
        </w:rPr>
        <w:t xml:space="preserve">iden </w:t>
      </w:r>
      <w:r w:rsidR="00CB627B">
        <w:rPr>
          <w:lang w:eastAsia="fi-FI"/>
        </w:rPr>
        <w:t xml:space="preserve">pää- ja </w:t>
      </w:r>
      <w:r w:rsidR="006070CE">
        <w:rPr>
          <w:lang w:eastAsia="fi-FI"/>
        </w:rPr>
        <w:t>arkkitehtisuunnittelu</w:t>
      </w:r>
      <w:r w:rsidR="00CB627B">
        <w:rPr>
          <w:lang w:eastAsia="fi-FI"/>
        </w:rPr>
        <w:t>n sisältävät toimeksiannot</w:t>
      </w:r>
      <w:r w:rsidR="00A029E9">
        <w:rPr>
          <w:lang w:eastAsia="fi-FI"/>
        </w:rPr>
        <w:t>.</w:t>
      </w:r>
      <w:r w:rsidR="00356784">
        <w:rPr>
          <w:lang w:eastAsia="fi-FI"/>
        </w:rPr>
        <w:t xml:space="preserve"> </w:t>
      </w:r>
      <w:r w:rsidR="00356784" w:rsidRPr="007A4F2E">
        <w:rPr>
          <w:color w:val="538135" w:themeColor="accent6" w:themeShade="BF"/>
          <w:lang w:eastAsia="fi-FI"/>
        </w:rPr>
        <w:t>(hankintalain liitteen D mukaisesti, referenssejä voidaan huomioida 3 vuoden ajalta, ellei riittävän kilpailun varmistamiseksi ole tarpeen käyttää pidempää aikaväliä)</w:t>
      </w:r>
    </w:p>
    <w:p w14:paraId="7AE1EB16" w14:textId="1CB6245A" w:rsidR="00AC7848" w:rsidRDefault="00023F67" w:rsidP="00F93047">
      <w:pPr>
        <w:pStyle w:val="Luettelokappale"/>
        <w:numPr>
          <w:ilvl w:val="0"/>
          <w:numId w:val="19"/>
        </w:numPr>
        <w:rPr>
          <w:lang w:eastAsia="fi-FI"/>
        </w:rPr>
      </w:pPr>
      <w:r w:rsidRPr="0072628C">
        <w:rPr>
          <w:highlight w:val="yellow"/>
          <w:lang w:eastAsia="fi-FI"/>
        </w:rPr>
        <w:t>Toimittajalla</w:t>
      </w:r>
      <w:r w:rsidR="003239C3">
        <w:rPr>
          <w:lang w:eastAsia="fi-FI"/>
        </w:rPr>
        <w:t xml:space="preserve"> tulee olla vähintään </w:t>
      </w:r>
      <w:r w:rsidR="00AE0B1B">
        <w:rPr>
          <w:lang w:eastAsia="fi-FI"/>
        </w:rPr>
        <w:t>x</w:t>
      </w:r>
      <w:r w:rsidR="003239C3">
        <w:rPr>
          <w:lang w:eastAsia="fi-FI"/>
        </w:rPr>
        <w:t xml:space="preserve"> kpl tietomallinnusreferenssiä </w:t>
      </w:r>
      <w:r w:rsidR="00A8202B">
        <w:rPr>
          <w:lang w:eastAsia="fi-FI"/>
        </w:rPr>
        <w:t>arkkitehtisuunnittelusta</w:t>
      </w:r>
      <w:r w:rsidR="003239C3">
        <w:rPr>
          <w:lang w:eastAsia="fi-FI"/>
        </w:rPr>
        <w:t xml:space="preserve"> viimeisen </w:t>
      </w:r>
      <w:r w:rsidR="00AE0B1B">
        <w:rPr>
          <w:lang w:eastAsia="fi-FI"/>
        </w:rPr>
        <w:t>x</w:t>
      </w:r>
      <w:r w:rsidR="003239C3">
        <w:rPr>
          <w:lang w:eastAsia="fi-FI"/>
        </w:rPr>
        <w:t xml:space="preserve"> vuoden ajalta. </w:t>
      </w:r>
    </w:p>
    <w:p w14:paraId="48049C5C" w14:textId="0A5C9A79" w:rsidR="00F93047" w:rsidRPr="00786D89" w:rsidRDefault="00F93047" w:rsidP="00786D89">
      <w:pPr>
        <w:ind w:left="360"/>
        <w:rPr>
          <w:color w:val="385623" w:themeColor="accent6" w:themeShade="80"/>
          <w:lang w:eastAsia="fi-FI"/>
        </w:rPr>
      </w:pPr>
      <w:r>
        <w:rPr>
          <w:lang w:eastAsia="fi-FI"/>
        </w:rPr>
        <w:t>Referenssin voimassaoloajan katsotaan alkavan viimeistään takuuajan päättymisestä.</w:t>
      </w:r>
      <w:r w:rsidR="00963324">
        <w:rPr>
          <w:lang w:eastAsia="fi-FI"/>
        </w:rPr>
        <w:t xml:space="preserve"> </w:t>
      </w:r>
      <w:r w:rsidR="00963324" w:rsidRPr="00EC6BA3">
        <w:rPr>
          <w:color w:val="538135" w:themeColor="accent6" w:themeShade="BF"/>
          <w:lang w:eastAsia="fi-FI"/>
        </w:rPr>
        <w:t>(</w:t>
      </w:r>
      <w:r w:rsidR="001C77E8" w:rsidRPr="00EC6BA3">
        <w:rPr>
          <w:color w:val="538135" w:themeColor="accent6" w:themeShade="BF"/>
          <w:lang w:eastAsia="fi-FI"/>
        </w:rPr>
        <w:t>H</w:t>
      </w:r>
      <w:r w:rsidR="00963324" w:rsidRPr="00EC6BA3">
        <w:rPr>
          <w:color w:val="538135" w:themeColor="accent6" w:themeShade="BF"/>
          <w:lang w:eastAsia="fi-FI"/>
        </w:rPr>
        <w:t>ankintayksikkö voi määrittää myös muun ajankohdan, jolloin referenssin voimassaoloajan katsotaan alkavan)</w:t>
      </w:r>
    </w:p>
    <w:p w14:paraId="73EF4884" w14:textId="77777777" w:rsidR="007E5AEC" w:rsidRPr="007E5AEC" w:rsidRDefault="007E5AEC" w:rsidP="00515EA0">
      <w:pPr>
        <w:rPr>
          <w:lang w:eastAsia="fi-FI"/>
        </w:rPr>
      </w:pPr>
      <w:r>
        <w:rPr>
          <w:lang w:eastAsia="fi-FI"/>
        </w:rPr>
        <w:lastRenderedPageBreak/>
        <w:t xml:space="preserve">Toimittajan tulee nimetä toimeksiantoon kaksi suunnittelijaa, joista toinen tulee nimetä pääsuunnittelijaksi. Pääsuunnittelijan tulee olla koulutukseltaan arkkitehti, </w:t>
      </w:r>
      <w:r w:rsidR="00B17ABB">
        <w:rPr>
          <w:lang w:eastAsia="fi-FI"/>
        </w:rPr>
        <w:t xml:space="preserve">hänellä tulee olla </w:t>
      </w:r>
      <w:proofErr w:type="spellStart"/>
      <w:r w:rsidR="00A32124">
        <w:rPr>
          <w:lang w:eastAsia="fi-FI"/>
        </w:rPr>
        <w:t>MRA:n</w:t>
      </w:r>
      <w:proofErr w:type="spellEnd"/>
      <w:r w:rsidR="00A32124">
        <w:rPr>
          <w:lang w:eastAsia="fi-FI"/>
        </w:rPr>
        <w:t xml:space="preserve"> mukaiset </w:t>
      </w:r>
      <w:r w:rsidR="00B17ABB">
        <w:rPr>
          <w:lang w:eastAsia="fi-FI"/>
        </w:rPr>
        <w:t xml:space="preserve">edellytykset toimia </w:t>
      </w:r>
      <w:r>
        <w:rPr>
          <w:lang w:eastAsia="fi-FI"/>
        </w:rPr>
        <w:t xml:space="preserve">vaativan rakennussuunnitteluhankkeen pääsuunnittelijana. </w:t>
      </w:r>
      <w:r w:rsidR="00B17ABB">
        <w:rPr>
          <w:lang w:eastAsia="fi-FI"/>
        </w:rPr>
        <w:t>T</w:t>
      </w:r>
      <w:r w:rsidR="002F6D4F">
        <w:rPr>
          <w:lang w:eastAsia="fi-FI"/>
        </w:rPr>
        <w:t>oisella</w:t>
      </w:r>
      <w:r>
        <w:rPr>
          <w:lang w:eastAsia="fi-FI"/>
        </w:rPr>
        <w:t xml:space="preserve"> nimettäv</w:t>
      </w:r>
      <w:r w:rsidR="002F6D4F">
        <w:rPr>
          <w:lang w:eastAsia="fi-FI"/>
        </w:rPr>
        <w:t>ä</w:t>
      </w:r>
      <w:r>
        <w:rPr>
          <w:lang w:eastAsia="fi-FI"/>
        </w:rPr>
        <w:t>llä henkilöllä tulee olla</w:t>
      </w:r>
      <w:r w:rsidR="00B17ABB">
        <w:rPr>
          <w:lang w:eastAsia="fi-FI"/>
        </w:rPr>
        <w:t xml:space="preserve"> </w:t>
      </w:r>
      <w:proofErr w:type="spellStart"/>
      <w:r w:rsidR="00A32124">
        <w:rPr>
          <w:lang w:eastAsia="fi-FI"/>
        </w:rPr>
        <w:t>MRA:n</w:t>
      </w:r>
      <w:proofErr w:type="spellEnd"/>
      <w:r w:rsidR="00A32124">
        <w:rPr>
          <w:lang w:eastAsia="fi-FI"/>
        </w:rPr>
        <w:t xml:space="preserve"> mukaiset </w:t>
      </w:r>
      <w:r w:rsidR="00B17ABB">
        <w:rPr>
          <w:lang w:eastAsia="fi-FI"/>
        </w:rPr>
        <w:t>edellytykset</w:t>
      </w:r>
      <w:r>
        <w:rPr>
          <w:lang w:eastAsia="fi-FI"/>
        </w:rPr>
        <w:t xml:space="preserve"> toimia tavanomaisen rakennussuunnitteluhankkeen suunnittelijana.</w:t>
      </w:r>
    </w:p>
    <w:p w14:paraId="3DBDDAA7" w14:textId="77777777" w:rsidR="00515EA0" w:rsidRDefault="00A029E9" w:rsidP="00515EA0">
      <w:pPr>
        <w:pStyle w:val="Otsikko2"/>
        <w:rPr>
          <w:lang w:eastAsia="fi-FI"/>
        </w:rPr>
      </w:pPr>
      <w:bookmarkStart w:id="13" w:name="_Toc469570163"/>
      <w:r>
        <w:rPr>
          <w:lang w:eastAsia="fi-FI"/>
        </w:rPr>
        <w:t>Vähimmäisvaatimukset täyttävien ehdokkaiden valinta</w:t>
      </w:r>
      <w:bookmarkEnd w:id="13"/>
    </w:p>
    <w:p w14:paraId="377A0552" w14:textId="77777777" w:rsidR="00A029E9" w:rsidRDefault="00A029E9" w:rsidP="00A029E9">
      <w:pPr>
        <w:rPr>
          <w:lang w:eastAsia="fi-FI"/>
        </w:rPr>
      </w:pPr>
      <w:r>
        <w:rPr>
          <w:lang w:eastAsia="fi-FI"/>
        </w:rPr>
        <w:t xml:space="preserve">Jos vähimmäisvaatimukset täyttäviä ehdokkaita on enemmän kuin </w:t>
      </w:r>
      <w:r w:rsidR="004B17E2">
        <w:rPr>
          <w:lang w:eastAsia="fi-FI"/>
        </w:rPr>
        <w:t>kohdassa 3</w:t>
      </w:r>
      <w:r>
        <w:rPr>
          <w:lang w:eastAsia="fi-FI"/>
        </w:rPr>
        <w:t xml:space="preserve"> esitetty enimmäismäärä, valitaan tarjoajaksi hyväksyttävät ehdokkaat seuraavin perustein:</w:t>
      </w:r>
    </w:p>
    <w:p w14:paraId="5F2AEDA8" w14:textId="77777777" w:rsidR="00C30C0D" w:rsidRDefault="00C30C0D" w:rsidP="00AB4848">
      <w:pPr>
        <w:pStyle w:val="Luettelokappale"/>
        <w:numPr>
          <w:ilvl w:val="0"/>
          <w:numId w:val="17"/>
        </w:numPr>
        <w:rPr>
          <w:lang w:eastAsia="fi-FI"/>
        </w:rPr>
      </w:pPr>
      <w:r>
        <w:rPr>
          <w:lang w:eastAsia="fi-FI"/>
        </w:rPr>
        <w:t>Liikuntahallien määrä kohdassa 4.3 tarkoitetuista kokoontumistiloja sisältävistä referensseistä</w:t>
      </w:r>
      <w:r w:rsidR="0002676F">
        <w:rPr>
          <w:lang w:eastAsia="fi-FI"/>
        </w:rPr>
        <w:t xml:space="preserve"> ja jos soveltuvia ehdokkaita on edelleen enemmän kuin kohdassa 3 esitetty määrä</w:t>
      </w:r>
    </w:p>
    <w:p w14:paraId="0CEC4231" w14:textId="77777777" w:rsidR="00C30C0D" w:rsidRDefault="00C30C0D" w:rsidP="00AB4848">
      <w:pPr>
        <w:pStyle w:val="Luettelokappale"/>
        <w:numPr>
          <w:ilvl w:val="0"/>
          <w:numId w:val="17"/>
        </w:numPr>
        <w:rPr>
          <w:lang w:eastAsia="fi-FI"/>
        </w:rPr>
      </w:pPr>
      <w:r>
        <w:rPr>
          <w:lang w:eastAsia="fi-FI"/>
        </w:rPr>
        <w:t>Kohdassa 4.3 tarkoitettujen kokoontumistiloja sisältävien referenssien määrä niiltä osin kuin se ylittää asetetun vähimmäisvaatimuksen ja jos soveltuvia ehdokkaita on edelleen enemmän kuin kohdassa 3 esitetty määrä</w:t>
      </w:r>
    </w:p>
    <w:p w14:paraId="5EB40473" w14:textId="178050F3" w:rsidR="00AB4848" w:rsidRDefault="00B65514" w:rsidP="00AB4848">
      <w:pPr>
        <w:pStyle w:val="Luettelokappale"/>
        <w:numPr>
          <w:ilvl w:val="0"/>
          <w:numId w:val="17"/>
        </w:numPr>
        <w:rPr>
          <w:lang w:eastAsia="fi-FI"/>
        </w:rPr>
      </w:pPr>
      <w:r>
        <w:rPr>
          <w:lang w:eastAsia="fi-FI"/>
        </w:rPr>
        <w:t xml:space="preserve">Kohdassa </w:t>
      </w:r>
      <w:r w:rsidR="007C2D62">
        <w:rPr>
          <w:lang w:eastAsia="fi-FI"/>
        </w:rPr>
        <w:t>4</w:t>
      </w:r>
      <w:r>
        <w:rPr>
          <w:lang w:eastAsia="fi-FI"/>
        </w:rPr>
        <w:t xml:space="preserve">.3 </w:t>
      </w:r>
      <w:r w:rsidR="00F62CAB">
        <w:rPr>
          <w:lang w:eastAsia="fi-FI"/>
        </w:rPr>
        <w:t>tarkoitettujen</w:t>
      </w:r>
      <w:r>
        <w:rPr>
          <w:lang w:eastAsia="fi-FI"/>
        </w:rPr>
        <w:t xml:space="preserve"> tietomallinnusreferenssien määrä niiltä osin kuin se ylittää asetetun vähimmäisvaatimuksen</w:t>
      </w:r>
    </w:p>
    <w:p w14:paraId="30AE3F83" w14:textId="3A8AC0A2" w:rsidR="00963324" w:rsidRPr="00052EDD" w:rsidRDefault="00963324" w:rsidP="00963324">
      <w:pPr>
        <w:rPr>
          <w:color w:val="538135" w:themeColor="accent6" w:themeShade="BF"/>
          <w:lang w:eastAsia="fi-FI"/>
        </w:rPr>
      </w:pPr>
      <w:r w:rsidRPr="00F273E7">
        <w:rPr>
          <w:color w:val="538135" w:themeColor="accent6" w:themeShade="BF"/>
          <w:lang w:eastAsia="fi-FI"/>
        </w:rPr>
        <w:t>(Vähimmäisvaatimukset täyttävien ehdokkaiden valinnassa tulee käyttää vähimmäisvaatimuksista poikkeavia tai ne ylittäviä vertailuperusteita)</w:t>
      </w:r>
    </w:p>
    <w:p w14:paraId="3B1BA7E3" w14:textId="77777777" w:rsidR="005524C1" w:rsidRDefault="005524C1" w:rsidP="005524C1">
      <w:pPr>
        <w:pStyle w:val="Otsikko1"/>
      </w:pPr>
      <w:bookmarkStart w:id="14" w:name="_Toc469570164"/>
      <w:bookmarkStart w:id="15" w:name="_Toc469570275"/>
      <w:r>
        <w:t>Tarjouksen sisältö ja jättäminen</w:t>
      </w:r>
      <w:bookmarkEnd w:id="14"/>
      <w:bookmarkEnd w:id="15"/>
    </w:p>
    <w:p w14:paraId="2F048FD3" w14:textId="77777777" w:rsidR="005524C1" w:rsidRDefault="005524C1" w:rsidP="005524C1">
      <w:pPr>
        <w:pStyle w:val="Otsikko2"/>
      </w:pPr>
      <w:bookmarkStart w:id="16" w:name="_Toc469570165"/>
      <w:r>
        <w:t>Tarjouksen sisältöohje</w:t>
      </w:r>
      <w:bookmarkEnd w:id="16"/>
    </w:p>
    <w:p w14:paraId="5D0E5BC1" w14:textId="218FD1F1" w:rsidR="00002ACD" w:rsidRPr="00002ACD" w:rsidRDefault="00002ACD" w:rsidP="00002ACD">
      <w:r>
        <w:t>Tarjous laaditaan hankintayksikön kilpailutusjärjestelmässä.</w:t>
      </w:r>
      <w:r w:rsidRPr="004C6565">
        <w:t xml:space="preserve"> </w:t>
      </w:r>
      <w:r w:rsidRPr="000F38E2">
        <w:t>Tarjous liitteineen on tehtävä kirjallisesti suomen kielellä</w:t>
      </w:r>
      <w:r w:rsidRPr="001D08D4">
        <w:t xml:space="preserve"> </w:t>
      </w:r>
      <w:r w:rsidR="002D6C3D">
        <w:t xml:space="preserve">hankintayksikön </w:t>
      </w:r>
      <w:r w:rsidR="002D6C3D" w:rsidRPr="002C31D7">
        <w:rPr>
          <w:highlight w:val="yellow"/>
        </w:rPr>
        <w:t>kilpailu</w:t>
      </w:r>
      <w:r w:rsidR="000E33F8">
        <w:rPr>
          <w:highlight w:val="yellow"/>
        </w:rPr>
        <w:t>tus</w:t>
      </w:r>
      <w:r w:rsidR="00DE1A71" w:rsidRPr="002C31D7">
        <w:rPr>
          <w:highlight w:val="yellow"/>
        </w:rPr>
        <w:t>järjestelmässä</w:t>
      </w:r>
      <w:r>
        <w:t xml:space="preserve"> pyydetyllä tavalla eriteltynä</w:t>
      </w:r>
      <w:r w:rsidRPr="000F38E2">
        <w:t>.</w:t>
      </w:r>
      <w:r w:rsidRPr="009C2D28">
        <w:t xml:space="preserve"> </w:t>
      </w:r>
      <w:r w:rsidRPr="000F38E2">
        <w:t xml:space="preserve">Tarjouksen tulee sisältää ne selvitykset ja todistukset, jotka on pyydetty liittämään tarjoukseen </w:t>
      </w:r>
      <w:r>
        <w:t>tässä tarjouspyynnössä</w:t>
      </w:r>
      <w:r w:rsidR="002D6C3D">
        <w:t xml:space="preserve"> ja hankintayksikön </w:t>
      </w:r>
      <w:r w:rsidR="002D6C3D" w:rsidRPr="000E33F8">
        <w:rPr>
          <w:highlight w:val="yellow"/>
        </w:rPr>
        <w:t>kilpailut</w:t>
      </w:r>
      <w:r w:rsidR="000E33F8" w:rsidRPr="000E33F8">
        <w:rPr>
          <w:highlight w:val="yellow"/>
        </w:rPr>
        <w:t>us</w:t>
      </w:r>
      <w:r w:rsidR="009D3AE0" w:rsidRPr="009D3AE0">
        <w:rPr>
          <w:highlight w:val="yellow"/>
        </w:rPr>
        <w:t>järjestelmän</w:t>
      </w:r>
      <w:r w:rsidR="002D6C3D">
        <w:t xml:space="preserve"> tarjouslomakkeessa </w:t>
      </w:r>
      <w:r w:rsidRPr="000F38E2">
        <w:t>tai</w:t>
      </w:r>
      <w:r w:rsidR="002D6C3D">
        <w:t xml:space="preserve"> on</w:t>
      </w:r>
      <w:r w:rsidRPr="000F38E2">
        <w:t xml:space="preserve"> pyydetty toimittamaan erikseen esitetyssä määräajassa. Selvityksien tai todistuksien osalta puutteelliset tarjoukset hylätään tarjouspyynnön vastaisina.</w:t>
      </w:r>
    </w:p>
    <w:p w14:paraId="0AE2ED9B" w14:textId="77777777" w:rsidR="00002ACD" w:rsidRPr="000F38E2" w:rsidRDefault="00002ACD" w:rsidP="00002ACD">
      <w:pPr>
        <w:rPr>
          <w:rFonts w:ascii="Times New Roman" w:hAnsi="Times New Roman" w:cs="Times New Roman"/>
          <w:sz w:val="24"/>
          <w:szCs w:val="24"/>
        </w:rPr>
      </w:pPr>
      <w:r>
        <w:t>Tarjous ei saa olla ehdollinen eikä t</w:t>
      </w:r>
      <w:r w:rsidRPr="000F38E2">
        <w:t>arjoajalla ei ole mahdollisuutta esittää omia sopimusehtoja. Tarjoajan lisäämiä sopimusehtoja sisältävät tarjoukset hylätään tarjouspyynnön vastaisina.</w:t>
      </w:r>
    </w:p>
    <w:p w14:paraId="3EC21BC4" w14:textId="383EFFE7" w:rsidR="007C2D62" w:rsidRPr="00030BEF" w:rsidRDefault="00002ACD" w:rsidP="007C2D62">
      <w:pPr>
        <w:rPr>
          <w:color w:val="385623" w:themeColor="accent6" w:themeShade="80"/>
        </w:rPr>
      </w:pPr>
      <w:r w:rsidRPr="000F38E2">
        <w:t>Osatarjouksia tai vaihtoehtoisia tarjouksia ei hyväksytä.</w:t>
      </w:r>
      <w:r w:rsidR="007C2D62" w:rsidRPr="007C2D62">
        <w:t xml:space="preserve"> </w:t>
      </w:r>
      <w:r w:rsidR="00030BEF" w:rsidRPr="00E41512">
        <w:rPr>
          <w:color w:val="538135" w:themeColor="accent6" w:themeShade="BF"/>
        </w:rPr>
        <w:t>(Hankintayksikkö voi esittää myös hyväksyvänsä vaihtoehtoiset tarjoukset</w:t>
      </w:r>
      <w:r w:rsidR="00596912" w:rsidRPr="00E41512">
        <w:rPr>
          <w:color w:val="538135" w:themeColor="accent6" w:themeShade="BF"/>
        </w:rPr>
        <w:t xml:space="preserve"> ja/tai</w:t>
      </w:r>
      <w:r w:rsidR="00030BEF" w:rsidRPr="00E41512">
        <w:rPr>
          <w:color w:val="538135" w:themeColor="accent6" w:themeShade="BF"/>
        </w:rPr>
        <w:t xml:space="preserve"> osatarjoukset. Osatarjoukset hyväksyttäessä hankintayksikön tulee esittää, kuinka hankinta on jaettu osiin.)</w:t>
      </w:r>
    </w:p>
    <w:p w14:paraId="37AFFA7B" w14:textId="68717584" w:rsidR="00002ACD" w:rsidRDefault="00002ACD" w:rsidP="00002ACD">
      <w:r>
        <w:t xml:space="preserve">Tarjouksen tulee olla voimassa vähintään </w:t>
      </w:r>
      <w:r w:rsidR="00030BEF" w:rsidRPr="0077613B">
        <w:t>x</w:t>
      </w:r>
      <w:r>
        <w:t xml:space="preserve"> kuukautta tarjousten jättämisen määräajan umpeutumisesta.</w:t>
      </w:r>
    </w:p>
    <w:p w14:paraId="75291713" w14:textId="77777777" w:rsidR="00AD0CD0" w:rsidRDefault="00AD0CD0" w:rsidP="00AD0CD0">
      <w:pPr>
        <w:pStyle w:val="Otsikko2"/>
      </w:pPr>
      <w:bookmarkStart w:id="17" w:name="_Toc469570166"/>
      <w:r>
        <w:t>Tarjoukse</w:t>
      </w:r>
      <w:r w:rsidR="00AA1942">
        <w:t>e</w:t>
      </w:r>
      <w:r>
        <w:t>n</w:t>
      </w:r>
      <w:r w:rsidR="00AA1942">
        <w:t xml:space="preserve"> laadittavat</w:t>
      </w:r>
      <w:r>
        <w:t xml:space="preserve"> liitteet</w:t>
      </w:r>
      <w:bookmarkEnd w:id="17"/>
    </w:p>
    <w:p w14:paraId="44671E4D" w14:textId="77777777" w:rsidR="00AD0CD0" w:rsidRDefault="007F2648" w:rsidP="00AD0CD0">
      <w:r>
        <w:t>Tarjoukseen liitettäväksi tulee laatia</w:t>
      </w:r>
      <w:r w:rsidR="00AD0CD0">
        <w:t>:</w:t>
      </w:r>
    </w:p>
    <w:p w14:paraId="4302471D" w14:textId="77777777" w:rsidR="00CE699B" w:rsidRDefault="00AD0CD0" w:rsidP="00CE699B">
      <w:pPr>
        <w:pStyle w:val="Luettelokappale"/>
        <w:numPr>
          <w:ilvl w:val="0"/>
          <w:numId w:val="11"/>
        </w:numPr>
      </w:pPr>
      <w:r>
        <w:lastRenderedPageBreak/>
        <w:t>Projektisuunnitelma, joka sisältää esityksen</w:t>
      </w:r>
      <w:r w:rsidR="0062382F">
        <w:t xml:space="preserve"> yleisestä projektisuunnitelmasta,</w:t>
      </w:r>
      <w:r>
        <w:t xml:space="preserve"> tunnistetuista riskeistä ja varmistavista toimenpiteistä, sisäisestä laadunvarmistuksesta ja alustavan suunnitelman toim</w:t>
      </w:r>
      <w:r w:rsidR="007F2648">
        <w:t>eksiannon henkilöresursoinnista</w:t>
      </w:r>
    </w:p>
    <w:p w14:paraId="496F06E4" w14:textId="32EAC278" w:rsidR="006D028B" w:rsidRDefault="006D028B" w:rsidP="006D028B">
      <w:pPr>
        <w:pStyle w:val="Luettelokappale"/>
        <w:numPr>
          <w:ilvl w:val="1"/>
          <w:numId w:val="11"/>
        </w:numPr>
      </w:pPr>
      <w:r>
        <w:t>Projektisuunnitel</w:t>
      </w:r>
      <w:r w:rsidR="007C2D62">
        <w:t xml:space="preserve">man enimmäispituus on </w:t>
      </w:r>
      <w:r w:rsidR="00030BEF" w:rsidRPr="0077613B">
        <w:t>x</w:t>
      </w:r>
      <w:r w:rsidR="007C2D62">
        <w:t xml:space="preserve"> sivua (f</w:t>
      </w:r>
      <w:r>
        <w:t xml:space="preserve">ontti </w:t>
      </w:r>
      <w:proofErr w:type="spellStart"/>
      <w:r>
        <w:t>Arial</w:t>
      </w:r>
      <w:proofErr w:type="spellEnd"/>
      <w:r>
        <w:t>, fonttikoko 12 pt.)</w:t>
      </w:r>
    </w:p>
    <w:p w14:paraId="43682D1F" w14:textId="3F71FFF3" w:rsidR="006D028B" w:rsidRDefault="006D028B" w:rsidP="006D028B">
      <w:pPr>
        <w:pStyle w:val="Luettelokappale"/>
        <w:numPr>
          <w:ilvl w:val="1"/>
          <w:numId w:val="11"/>
        </w:numPr>
      </w:pPr>
      <w:r>
        <w:t xml:space="preserve">Mikäli tarjoajan esittämä projektisuunnitelma pituus on yli </w:t>
      </w:r>
      <w:r w:rsidR="00030BEF" w:rsidRPr="0077613B">
        <w:t>x</w:t>
      </w:r>
      <w:r>
        <w:t xml:space="preserve"> sivua, vain projektisuunnitelman ensimmäiset </w:t>
      </w:r>
      <w:r w:rsidR="00030BEF" w:rsidRPr="0077613B">
        <w:t>x</w:t>
      </w:r>
      <w:r>
        <w:t xml:space="preserve"> sivua huomioidaan </w:t>
      </w:r>
      <w:r w:rsidR="00DF7FCD">
        <w:t xml:space="preserve">tarjouksen </w:t>
      </w:r>
      <w:r>
        <w:t>arvioinnissa</w:t>
      </w:r>
    </w:p>
    <w:p w14:paraId="0E97E55E" w14:textId="77777777" w:rsidR="007F2648" w:rsidRDefault="007F2648" w:rsidP="007F2648">
      <w:r>
        <w:t xml:space="preserve">Luettelo muista tarjoukseen liitettävistä asiakirjoista on esitetty liitteessä </w:t>
      </w:r>
      <w:r w:rsidR="00753067">
        <w:t>8</w:t>
      </w:r>
      <w:r>
        <w:t>.</w:t>
      </w:r>
    </w:p>
    <w:p w14:paraId="7446F839" w14:textId="77777777" w:rsidR="00FF5893" w:rsidRDefault="00FF5893" w:rsidP="00FF5893">
      <w:pPr>
        <w:pStyle w:val="Otsikko2"/>
      </w:pPr>
      <w:bookmarkStart w:id="18" w:name="_Toc469570167"/>
      <w:r>
        <w:t>Tarjouksessa nimettävät henkilöt</w:t>
      </w:r>
      <w:bookmarkEnd w:id="18"/>
    </w:p>
    <w:p w14:paraId="61ADA1EF" w14:textId="77777777" w:rsidR="00CD55D5" w:rsidRPr="00A1276F" w:rsidRDefault="00CD55D5" w:rsidP="00CD55D5">
      <w:r w:rsidRPr="00A1276F">
        <w:t xml:space="preserve">Tarjouksessa tulee </w:t>
      </w:r>
      <w:r>
        <w:t>esittää</w:t>
      </w:r>
      <w:r w:rsidRPr="00A1276F">
        <w:t xml:space="preserve"> yhteyshenkilö, johon hankintayksikkö on yhteydessä menettelyn aikana. </w:t>
      </w:r>
      <w:r>
        <w:t>Toimittajan tulee nimetä tarjouksessaan myös sopimusvastuuhenkilö.</w:t>
      </w:r>
    </w:p>
    <w:p w14:paraId="5D2A3825" w14:textId="77777777" w:rsidR="00CD55D5" w:rsidRDefault="00CD55D5" w:rsidP="00CD55D5">
      <w:r>
        <w:t>Tarjouksessa tulee nimetä seuraavat toimeksiannon suorittamiseen osallistuvat henkilöt:</w:t>
      </w:r>
    </w:p>
    <w:p w14:paraId="37B8D9FB" w14:textId="77777777" w:rsidR="00CD55D5" w:rsidRPr="00D30CCE" w:rsidRDefault="00D30CCE" w:rsidP="00CD55D5">
      <w:pPr>
        <w:pStyle w:val="Luettelokappale"/>
        <w:numPr>
          <w:ilvl w:val="0"/>
          <w:numId w:val="10"/>
        </w:numPr>
      </w:pPr>
      <w:r w:rsidRPr="00D30CCE">
        <w:t>pää</w:t>
      </w:r>
      <w:r w:rsidR="00CD55D5" w:rsidRPr="00D30CCE">
        <w:t xml:space="preserve">suunnittelija; ja </w:t>
      </w:r>
    </w:p>
    <w:p w14:paraId="498F334C" w14:textId="77777777" w:rsidR="00CD55D5" w:rsidRPr="00D30CCE" w:rsidRDefault="00D30CCE" w:rsidP="00CD55D5">
      <w:pPr>
        <w:pStyle w:val="Luettelokappale"/>
        <w:numPr>
          <w:ilvl w:val="0"/>
          <w:numId w:val="10"/>
        </w:numPr>
      </w:pPr>
      <w:r w:rsidRPr="00D30CCE">
        <w:t>suunnittelija</w:t>
      </w:r>
    </w:p>
    <w:p w14:paraId="15AFBE88" w14:textId="1B860912" w:rsidR="00CD55D5" w:rsidRDefault="001D5275" w:rsidP="00CD55D5">
      <w:r>
        <w:t>Pää</w:t>
      </w:r>
      <w:r w:rsidR="00CD55D5">
        <w:t xml:space="preserve">suunnittelijan tulee </w:t>
      </w:r>
      <w:r>
        <w:t xml:space="preserve">nimetyn </w:t>
      </w:r>
      <w:r w:rsidR="00CD55D5">
        <w:t xml:space="preserve">suunnittelijan ohella osallistua hankkeen suunnittelutyöhön koko suunnittelu- ja rakennusvaiheen ajan. Tarjoajan tulee nimetä projektipäälliköksi, </w:t>
      </w:r>
      <w:r w:rsidR="005D0A51">
        <w:t>toinen nimetyistä henkilöistä</w:t>
      </w:r>
      <w:r w:rsidR="00CD55D5">
        <w:t>.</w:t>
      </w:r>
      <w:r w:rsidR="00AA626E">
        <w:t xml:space="preserve"> </w:t>
      </w:r>
      <w:r w:rsidR="00AA626E">
        <w:rPr>
          <w:color w:val="385623" w:themeColor="accent6" w:themeShade="80"/>
        </w:rPr>
        <w:t>(Hankinnasta ja hankkeesta riippuen projektipäälliköksi voidaan vaatia nimeämään myös suunnitteluun osallistumaton henkilö)</w:t>
      </w:r>
      <w:r w:rsidR="00CD55D5">
        <w:t xml:space="preserve"> </w:t>
      </w:r>
      <w:r w:rsidR="00CD543A">
        <w:t>Nimettyjä</w:t>
      </w:r>
      <w:r w:rsidR="00CD55D5" w:rsidRPr="001234CA">
        <w:t xml:space="preserve"> henkilöitä ei saa vaihtaa toimeksiannon aikana ilman </w:t>
      </w:r>
      <w:r w:rsidR="00CD55D5">
        <w:t>hankintayksikön</w:t>
      </w:r>
      <w:r w:rsidR="00CD55D5" w:rsidRPr="001234CA">
        <w:t xml:space="preserve"> kirjallista suostumusta.</w:t>
      </w:r>
    </w:p>
    <w:p w14:paraId="122D2BAB" w14:textId="77777777" w:rsidR="00CD543A" w:rsidRDefault="00CD543A" w:rsidP="00CD543A">
      <w:r>
        <w:t>Seuraaville tarjouksessa nimetyille henkilöille tulee esittää varahenkilöt:</w:t>
      </w:r>
    </w:p>
    <w:p w14:paraId="69F104CD" w14:textId="77777777" w:rsidR="007F785F" w:rsidRPr="00D30CCE" w:rsidRDefault="007F785F" w:rsidP="007F785F">
      <w:pPr>
        <w:pStyle w:val="Luettelokappale"/>
        <w:numPr>
          <w:ilvl w:val="0"/>
          <w:numId w:val="10"/>
        </w:numPr>
      </w:pPr>
      <w:r w:rsidRPr="00D30CCE">
        <w:t xml:space="preserve">pääsuunnittelija; ja </w:t>
      </w:r>
    </w:p>
    <w:p w14:paraId="5E5229D3" w14:textId="77777777" w:rsidR="007F785F" w:rsidRPr="00D30CCE" w:rsidRDefault="007F785F" w:rsidP="007F785F">
      <w:pPr>
        <w:pStyle w:val="Luettelokappale"/>
        <w:numPr>
          <w:ilvl w:val="0"/>
          <w:numId w:val="10"/>
        </w:numPr>
      </w:pPr>
      <w:r w:rsidRPr="00D30CCE">
        <w:t>suunnittelija</w:t>
      </w:r>
    </w:p>
    <w:p w14:paraId="111B7F70" w14:textId="2A0FA798" w:rsidR="00CD543A" w:rsidRDefault="00CD543A" w:rsidP="00CD543A">
      <w:r>
        <w:t xml:space="preserve">Kuhunkin tehtävään esitetty varahenkilö on ensisijainen korvaava henkilö nimettyä henkilöä vaihdettaessa. Esitettävän varahenkilön tulee täyttää samat vähimmäisvaatimukset, jotka on esitetty henkilölle, jota varahenkilö tarvittaessa korvaa. Jos nimettyyn henkilöön liittyviä ominaisuuksia käytetään tarjousten arviointiperusteena, tulee varahenkilön olla liitteen 6 ”Arviointiperusteet” mukaisesti arvioitaessa vähintään samaa tasoa. Varahenkilön ei tarvitse olla osa esitettyä projektihenkilöstöä. Nimettyä henkilöä ei saa korvata varahenkilöllä toimeksiannon aikana ilman </w:t>
      </w:r>
      <w:r w:rsidR="00E03BEF" w:rsidRPr="00E03BEF">
        <w:rPr>
          <w:highlight w:val="yellow"/>
        </w:rPr>
        <w:t>hankintayksikön</w:t>
      </w:r>
      <w:r>
        <w:t xml:space="preserve"> kirjallista suostumusta.</w:t>
      </w:r>
    </w:p>
    <w:p w14:paraId="66F4A1DC" w14:textId="77777777" w:rsidR="00CD543A" w:rsidRDefault="00CD543A" w:rsidP="00CD543A">
      <w:r>
        <w:t>Nimettyjen henkilöiden osalta arviointia varten toimitettavat asi</w:t>
      </w:r>
      <w:r w:rsidR="006E5CF7">
        <w:t>akirjat on esitetty liitteessä 8</w:t>
      </w:r>
      <w:r>
        <w:t>.</w:t>
      </w:r>
    </w:p>
    <w:p w14:paraId="51F25B46" w14:textId="77777777" w:rsidR="008D2A5E" w:rsidRDefault="008D2A5E" w:rsidP="008D2A5E">
      <w:pPr>
        <w:pStyle w:val="Otsikko2"/>
      </w:pPr>
      <w:bookmarkStart w:id="19" w:name="_Toc469570168"/>
      <w:r>
        <w:t>Tarjousten julkisuus</w:t>
      </w:r>
      <w:bookmarkEnd w:id="19"/>
    </w:p>
    <w:p w14:paraId="59A46AEA" w14:textId="77777777" w:rsidR="0061519D" w:rsidRDefault="0061519D" w:rsidP="0061519D">
      <w:r>
        <w:t>Hankintayksikön asiakirjojen julkisuuteen ja asianosaisten tiedonsaantioikeuteen sovelletaan viranomaisten julkisuudesta annettua lakia (621/1999).</w:t>
      </w:r>
    </w:p>
    <w:p w14:paraId="13A66EB9" w14:textId="2EA5181A" w:rsidR="0061519D" w:rsidRPr="0025750D" w:rsidRDefault="0061519D" w:rsidP="0061519D">
      <w:r w:rsidRPr="000F38E2">
        <w:t xml:space="preserve">Hankintapäätös ja sen liitteet ovat julkisia päätöksen allekirjoituksen jälkeen. Muut hankinta-asiakirjat ovat julkisia sopimuksen tekemisen jälkeen. Jos tarjoajan mielestä jokin </w:t>
      </w:r>
      <w:r w:rsidRPr="000F38E2">
        <w:lastRenderedPageBreak/>
        <w:t xml:space="preserve">osa tarjousta sisältää liikesalaisuuksia on tarjoajan </w:t>
      </w:r>
      <w:r>
        <w:t>merkittävä nämä tiedot kilpai</w:t>
      </w:r>
      <w:r w:rsidR="0077613B">
        <w:t>lutusjärjestelmässä salaisiksi.</w:t>
      </w:r>
      <w:r w:rsidRPr="000F38E2">
        <w:t xml:space="preserve"> </w:t>
      </w:r>
      <w:r w:rsidR="00FF4624" w:rsidRPr="0077613B">
        <w:rPr>
          <w:highlight w:val="yellow"/>
        </w:rPr>
        <w:t>Hankintayksikkö</w:t>
      </w:r>
      <w:r w:rsidRPr="000F38E2">
        <w:t xml:space="preserve"> harkitsee, ovatko liikesalaisuuksiksi esitetyt asiat lain mukaan salassa pidettäviä.</w:t>
      </w:r>
      <w:r>
        <w:t xml:space="preserve"> </w:t>
      </w:r>
      <w:r w:rsidR="003D577C" w:rsidRPr="0077613B">
        <w:t>Julkisuuslain mukaisesti tieto tarjouksen vertailusta käytetystä kokonaishinnasta ei ole liikesalaisuutena pidettävä asia.</w:t>
      </w:r>
    </w:p>
    <w:p w14:paraId="72F26F45" w14:textId="77777777" w:rsidR="00A71ED8" w:rsidRDefault="00A71ED8" w:rsidP="00A71ED8">
      <w:pPr>
        <w:pStyle w:val="Otsikko2"/>
      </w:pPr>
      <w:bookmarkStart w:id="20" w:name="_Toc469570169"/>
      <w:r>
        <w:t>Alikonsulttien käyttäminen</w:t>
      </w:r>
      <w:bookmarkEnd w:id="20"/>
    </w:p>
    <w:p w14:paraId="59A38F85" w14:textId="77777777" w:rsidR="003B0C9B" w:rsidRPr="00195C6F" w:rsidRDefault="003B0C9B" w:rsidP="00195C6F">
      <w:pPr>
        <w:rPr>
          <w:lang w:eastAsia="fi-FI"/>
        </w:rPr>
      </w:pPr>
      <w:r>
        <w:t xml:space="preserve">Hankintasopimuksen toteuttamisessa on mahdollista käyttää alikonsultteja, jotka täydentävät toimittajan omia resursseja. </w:t>
      </w:r>
      <w:r w:rsidR="00AD71CB">
        <w:t>Liitteessä 3</w:t>
      </w:r>
      <w:r w:rsidR="00195C6F">
        <w:t xml:space="preserve"> </w:t>
      </w:r>
      <w:r w:rsidR="00195C6F">
        <w:rPr>
          <w:lang w:eastAsia="fi-FI"/>
        </w:rPr>
        <w:t>”</w:t>
      </w:r>
      <w:r w:rsidR="008263EB">
        <w:rPr>
          <w:lang w:eastAsia="fi-FI"/>
        </w:rPr>
        <w:t>Arkkitehtisuunnittelun tehtäväluettelo ARK</w:t>
      </w:r>
      <w:r w:rsidR="00195C6F">
        <w:rPr>
          <w:lang w:eastAsia="fi-FI"/>
        </w:rPr>
        <w:t xml:space="preserve">12 (rajauksin ja merkittyine lisätehtävineen)” </w:t>
      </w:r>
      <w:r w:rsidR="00AD71CB">
        <w:rPr>
          <w:lang w:eastAsia="fi-FI"/>
        </w:rPr>
        <w:t xml:space="preserve">ja liitteessä 4 ”Pääsuunnittelun tehtäväluettelo PS12 (rajauksin ja merkittyine lisätehtävineen)” </w:t>
      </w:r>
      <w:r w:rsidR="00195C6F">
        <w:rPr>
          <w:lang w:eastAsia="fi-FI"/>
        </w:rPr>
        <w:t xml:space="preserve">on merkitty ne tehtävät, jotka toimittajan on hoidettava omin resurssein ja joita ei voida siirtää alihankintana toisaalle. </w:t>
      </w:r>
    </w:p>
    <w:p w14:paraId="72C5B90E" w14:textId="77777777" w:rsidR="003B0C9B" w:rsidRDefault="003B0C9B" w:rsidP="003B0C9B">
      <w:r>
        <w:t>Käytettävät alikonsultit tulee hyväksyttää ennen</w:t>
      </w:r>
      <w:r w:rsidRPr="00C11907">
        <w:t xml:space="preserve"> alikonsultin työn alkamista. </w:t>
      </w:r>
      <w:r>
        <w:t xml:space="preserve">Alihankkijoiden ilmoittaminen ei rajoita pääasiallisen tarjoajan vastuuta hankinnan toteuttamisesta. </w:t>
      </w:r>
    </w:p>
    <w:p w14:paraId="265942D3" w14:textId="77777777" w:rsidR="003B0C9B" w:rsidRPr="003A2E77" w:rsidRDefault="003B0C9B" w:rsidP="003B0C9B">
      <w:r w:rsidRPr="003A2E77">
        <w:t>Hankintayksiköllä on oikeus vaatia toimittajaa korvaamaan ja toimittajalla velvollisuus korvata alikonsultti toisella alikonsultilla, jos toimittajan esittämää alikonsulttia rasittaa jokin hankintalain 80 §:ssä tarkoitettu pakollinen poissulkemisperuste tai 81 §:ssä tarkoitettu harkinnanvarainen poissulkemisperuste.</w:t>
      </w:r>
    </w:p>
    <w:p w14:paraId="4965727E" w14:textId="77777777" w:rsidR="003B0C9B" w:rsidRPr="00CF7A7E" w:rsidRDefault="003B0C9B" w:rsidP="003B0C9B">
      <w:pPr>
        <w:rPr>
          <w:color w:val="ED7D31" w:themeColor="accent2"/>
        </w:rPr>
      </w:pPr>
      <w:r w:rsidRPr="00D55785">
        <w:t xml:space="preserve">Mahdollisten alikonsulttien </w:t>
      </w:r>
      <w:r w:rsidRPr="00A82D33">
        <w:t xml:space="preserve">palkkioiden tulee sisältyä toimittajan tarjoukseen ja niiden laskutus tapahtuu pääasiallisen toimittajan kautta. Alikonsulttien </w:t>
      </w:r>
      <w:r w:rsidR="00EC77C5" w:rsidRPr="00A82D33">
        <w:t>työn tulee sisältyä tarjoushintaan. Alikonsultin suorittamista töistä ei makseta erillistä l</w:t>
      </w:r>
      <w:r w:rsidRPr="00A82D33">
        <w:t xml:space="preserve">askutuslisää eikä alihankintana tehtyyn työhön lisätä katetta. </w:t>
      </w:r>
    </w:p>
    <w:p w14:paraId="53E61D72" w14:textId="77777777" w:rsidR="003D20A2" w:rsidRDefault="003D20A2" w:rsidP="003D20A2">
      <w:pPr>
        <w:pStyle w:val="Otsikko2"/>
      </w:pPr>
      <w:bookmarkStart w:id="21" w:name="_Toc469570170"/>
      <w:r>
        <w:t>Tarjouksen jättäminen</w:t>
      </w:r>
      <w:bookmarkEnd w:id="21"/>
    </w:p>
    <w:p w14:paraId="3E0477CE" w14:textId="33ED5BD2" w:rsidR="0015272A" w:rsidRDefault="0015272A" w:rsidP="0015272A">
      <w:r>
        <w:t xml:space="preserve">Tarjous </w:t>
      </w:r>
      <w:r w:rsidR="008E3420">
        <w:t>tulee jättää hankintayksikön sähköisessä kilpailut</w:t>
      </w:r>
      <w:r w:rsidR="001373FE">
        <w:t>us</w:t>
      </w:r>
      <w:r w:rsidR="00E03BEF" w:rsidRPr="0061168C">
        <w:rPr>
          <w:highlight w:val="yellow"/>
        </w:rPr>
        <w:t>järjestelmässä</w:t>
      </w:r>
      <w:r w:rsidR="008E3420">
        <w:t xml:space="preserve"> osoitteessa www.kuntalankilpailuttamisportaali.fi </w:t>
      </w:r>
      <w:proofErr w:type="spellStart"/>
      <w:r w:rsidR="008E3420">
        <w:t>pp.</w:t>
      </w:r>
      <w:proofErr w:type="gramStart"/>
      <w:r w:rsidR="008E3420">
        <w:t>kk.vvvv</w:t>
      </w:r>
      <w:proofErr w:type="spellEnd"/>
      <w:proofErr w:type="gramEnd"/>
      <w:r w:rsidR="008E3420">
        <w:t xml:space="preserve"> klo </w:t>
      </w:r>
      <w:proofErr w:type="spellStart"/>
      <w:r w:rsidR="008E3420">
        <w:t>hh:mm</w:t>
      </w:r>
      <w:proofErr w:type="spellEnd"/>
      <w:r w:rsidR="008E3420">
        <w:t xml:space="preserve"> mennessä. Tarjous jätetään kilpa</w:t>
      </w:r>
      <w:r w:rsidR="001373FE">
        <w:t>ilutus</w:t>
      </w:r>
      <w:r w:rsidR="003C54EA" w:rsidRPr="0061168C">
        <w:rPr>
          <w:highlight w:val="yellow"/>
        </w:rPr>
        <w:t>järjestelmässä</w:t>
      </w:r>
      <w:r w:rsidR="008E3420">
        <w:t xml:space="preserve"> lomakepohjaisesti ja pyydetyin liiteasiakirjoin. </w:t>
      </w:r>
      <w:r w:rsidR="008668A1">
        <w:t>T</w:t>
      </w:r>
      <w:bookmarkStart w:id="22" w:name="_GoBack"/>
      <w:bookmarkEnd w:id="22"/>
      <w:r w:rsidR="008668A1">
        <w:t>arjousten jättäminen ei ole mahdollista tarjousajan päättymisen jälkeen.</w:t>
      </w:r>
    </w:p>
    <w:p w14:paraId="4C74E810" w14:textId="77777777" w:rsidR="008933F4" w:rsidRPr="008933F4" w:rsidRDefault="008668A1" w:rsidP="008933F4">
      <w:pPr>
        <w:rPr>
          <w:rFonts w:ascii="Times New Roman" w:hAnsi="Times New Roman" w:cs="Times New Roman"/>
          <w:sz w:val="24"/>
          <w:szCs w:val="24"/>
        </w:rPr>
      </w:pPr>
      <w:r w:rsidRPr="000F38E2">
        <w:t xml:space="preserve">Kukin toimittaja on oikeutettu tekemään yhden tarjouksen. </w:t>
      </w:r>
      <w:r>
        <w:t xml:space="preserve">Jos toimittaja tehnyt rinnakkaisia tarjouksia, otetaan vertailuun mukaan ainoastaan viimeisimpänä saapunut tarjous. </w:t>
      </w:r>
      <w:r w:rsidRPr="006E4C84">
        <w:t xml:space="preserve">Sama </w:t>
      </w:r>
      <w:r>
        <w:t>toimittaja</w:t>
      </w:r>
      <w:r w:rsidRPr="006E4C84">
        <w:t xml:space="preserve"> voi toimia alikonsulttina useammassa tarjouksessa</w:t>
      </w:r>
      <w:r>
        <w:rPr>
          <w:rFonts w:ascii="Times New Roman" w:hAnsi="Times New Roman" w:cs="Times New Roman"/>
          <w:sz w:val="24"/>
          <w:szCs w:val="24"/>
        </w:rPr>
        <w:t>.</w:t>
      </w:r>
    </w:p>
    <w:p w14:paraId="3BF77991" w14:textId="77777777" w:rsidR="00090E0F" w:rsidRDefault="00090E0F" w:rsidP="00090E0F">
      <w:pPr>
        <w:pStyle w:val="Otsikko1"/>
      </w:pPr>
      <w:bookmarkStart w:id="23" w:name="_Toc469570171"/>
      <w:bookmarkStart w:id="24" w:name="_Toc469570276"/>
      <w:r>
        <w:t>Tarjousten käsittely</w:t>
      </w:r>
      <w:bookmarkEnd w:id="23"/>
      <w:bookmarkEnd w:id="24"/>
    </w:p>
    <w:p w14:paraId="1FFF7BA8" w14:textId="77777777" w:rsidR="00090E0F" w:rsidRDefault="00090E0F" w:rsidP="00090E0F">
      <w:r>
        <w:t>Tarjousajan päätyttyä hankintayksikkö käsittelee saapuneet tarjoukset dokumentoidusti. Tarjousten käsittely sisältää seuraavat vaiheet:</w:t>
      </w:r>
    </w:p>
    <w:p w14:paraId="2737968D" w14:textId="77777777" w:rsidR="00090E0F" w:rsidRDefault="00090E0F" w:rsidP="00090E0F">
      <w:pPr>
        <w:pStyle w:val="Luettelokappale"/>
        <w:numPr>
          <w:ilvl w:val="0"/>
          <w:numId w:val="8"/>
        </w:numPr>
      </w:pPr>
      <w:r>
        <w:t>Tarjousten avaaminen tarjousajan päätyttyä</w:t>
      </w:r>
    </w:p>
    <w:p w14:paraId="1A9773BF" w14:textId="77777777" w:rsidR="00090E0F" w:rsidRDefault="00090E0F" w:rsidP="00090E0F">
      <w:pPr>
        <w:pStyle w:val="Luettelokappale"/>
        <w:numPr>
          <w:ilvl w:val="0"/>
          <w:numId w:val="8"/>
        </w:numPr>
      </w:pPr>
      <w:r>
        <w:t>Tarjousten tarjouspyynnönmukaisuuden tarkistaminen</w:t>
      </w:r>
    </w:p>
    <w:p w14:paraId="3F4015AB" w14:textId="77777777" w:rsidR="00090E0F" w:rsidRDefault="00090E0F" w:rsidP="00090E0F">
      <w:pPr>
        <w:pStyle w:val="Luettelokappale"/>
        <w:numPr>
          <w:ilvl w:val="0"/>
          <w:numId w:val="8"/>
        </w:numPr>
      </w:pPr>
      <w:r>
        <w:t>Tarjousten arviointi ja vertailu kohdassa 6.1 esitetyin kokonaistaloudellisen edullisuuden perusteiden mukaisesti.</w:t>
      </w:r>
    </w:p>
    <w:p w14:paraId="188C0C34" w14:textId="77777777" w:rsidR="00090E0F" w:rsidRPr="00193A6D" w:rsidRDefault="00090E0F" w:rsidP="00090E0F">
      <w:pPr>
        <w:pStyle w:val="Luettelokappale"/>
        <w:numPr>
          <w:ilvl w:val="0"/>
          <w:numId w:val="8"/>
        </w:numPr>
      </w:pPr>
      <w:r>
        <w:t xml:space="preserve">Poissulkemisen edellytysten ja soveltuvuusvaatimuksen täyttymisen selvittäminen </w:t>
      </w:r>
      <w:proofErr w:type="gramStart"/>
      <w:r>
        <w:t>valitulta tarjoajalta</w:t>
      </w:r>
      <w:proofErr w:type="gramEnd"/>
      <w:r>
        <w:t xml:space="preserve"> ellei selvitetty aiemmassa vaiheessa hankintamenettelyä</w:t>
      </w:r>
    </w:p>
    <w:p w14:paraId="4FBCDA84" w14:textId="77777777" w:rsidR="00090E0F" w:rsidRDefault="00090E0F" w:rsidP="00090E0F">
      <w:pPr>
        <w:pStyle w:val="Otsikko2"/>
      </w:pPr>
      <w:bookmarkStart w:id="25" w:name="_Toc469570172"/>
      <w:r>
        <w:lastRenderedPageBreak/>
        <w:t>Kokonaistaloudellisesti edullisimman tarjouksen valinta</w:t>
      </w:r>
      <w:bookmarkEnd w:id="25"/>
    </w:p>
    <w:p w14:paraId="143D0F85" w14:textId="1F06600E" w:rsidR="002316E2" w:rsidRDefault="00090E0F" w:rsidP="00090E0F">
      <w:r>
        <w:t xml:space="preserve">Kokonaistaloudellisen edullisuuden perusteena käytetään parasta hinta-laatusuhdetta. </w:t>
      </w:r>
      <w:r w:rsidR="00A25726">
        <w:t>Vertailuperusteiden suhteellinen painotus on seuraava:</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043"/>
      </w:tblGrid>
      <w:tr w:rsidR="00A25726" w14:paraId="2E0AE357" w14:textId="77777777" w:rsidTr="00813D8A">
        <w:tc>
          <w:tcPr>
            <w:tcW w:w="4508" w:type="dxa"/>
            <w:tcBorders>
              <w:top w:val="single" w:sz="4" w:space="0" w:color="auto"/>
              <w:bottom w:val="single" w:sz="4" w:space="0" w:color="auto"/>
            </w:tcBorders>
            <w:vAlign w:val="center"/>
          </w:tcPr>
          <w:p w14:paraId="0589135F" w14:textId="77777777" w:rsidR="00A25726" w:rsidRPr="00A25726" w:rsidRDefault="00A25726" w:rsidP="00813D8A">
            <w:pPr>
              <w:spacing w:before="240"/>
              <w:rPr>
                <w:b/>
              </w:rPr>
            </w:pPr>
            <w:r>
              <w:rPr>
                <w:b/>
              </w:rPr>
              <w:t>Vertailuperuste</w:t>
            </w:r>
          </w:p>
        </w:tc>
        <w:tc>
          <w:tcPr>
            <w:tcW w:w="4508" w:type="dxa"/>
            <w:tcBorders>
              <w:top w:val="single" w:sz="4" w:space="0" w:color="auto"/>
              <w:bottom w:val="single" w:sz="4" w:space="0" w:color="auto"/>
            </w:tcBorders>
            <w:vAlign w:val="center"/>
          </w:tcPr>
          <w:p w14:paraId="76B8E3DF" w14:textId="77777777" w:rsidR="00A25726" w:rsidRPr="00A25726" w:rsidRDefault="00A25726" w:rsidP="00813D8A">
            <w:pPr>
              <w:spacing w:before="240"/>
              <w:rPr>
                <w:b/>
              </w:rPr>
            </w:pPr>
            <w:r>
              <w:rPr>
                <w:b/>
              </w:rPr>
              <w:t>Painotus</w:t>
            </w:r>
          </w:p>
        </w:tc>
      </w:tr>
      <w:tr w:rsidR="00A25726" w14:paraId="527925A5" w14:textId="77777777" w:rsidTr="00813D8A">
        <w:tc>
          <w:tcPr>
            <w:tcW w:w="4508" w:type="dxa"/>
            <w:tcBorders>
              <w:top w:val="single" w:sz="4" w:space="0" w:color="auto"/>
            </w:tcBorders>
            <w:vAlign w:val="center"/>
          </w:tcPr>
          <w:p w14:paraId="72C047DC" w14:textId="77777777" w:rsidR="00A25726" w:rsidRDefault="00A25726" w:rsidP="00813D8A">
            <w:pPr>
              <w:spacing w:before="240"/>
            </w:pPr>
            <w:r>
              <w:t>Kokonaishinta</w:t>
            </w:r>
          </w:p>
        </w:tc>
        <w:tc>
          <w:tcPr>
            <w:tcW w:w="4508" w:type="dxa"/>
            <w:tcBorders>
              <w:top w:val="single" w:sz="4" w:space="0" w:color="auto"/>
            </w:tcBorders>
            <w:vAlign w:val="center"/>
          </w:tcPr>
          <w:p w14:paraId="5591B928" w14:textId="684CA198" w:rsidR="00A25726" w:rsidRPr="008438A0" w:rsidRDefault="00052EDD" w:rsidP="00052EDD">
            <w:pPr>
              <w:spacing w:before="240"/>
              <w:rPr>
                <w:color w:val="538135" w:themeColor="accent6" w:themeShade="BF"/>
              </w:rPr>
            </w:pPr>
            <w:r w:rsidRPr="008438A0">
              <w:rPr>
                <w:color w:val="538135" w:themeColor="accent6" w:themeShade="BF"/>
              </w:rPr>
              <w:t>35</w:t>
            </w:r>
            <w:r w:rsidR="003D577C" w:rsidRPr="008438A0">
              <w:rPr>
                <w:color w:val="538135" w:themeColor="accent6" w:themeShade="BF"/>
              </w:rPr>
              <w:t>-</w:t>
            </w:r>
            <w:r w:rsidRPr="008438A0">
              <w:rPr>
                <w:color w:val="538135" w:themeColor="accent6" w:themeShade="BF"/>
              </w:rPr>
              <w:t>55</w:t>
            </w:r>
            <w:r w:rsidR="00A25726" w:rsidRPr="008438A0">
              <w:rPr>
                <w:color w:val="538135" w:themeColor="accent6" w:themeShade="BF"/>
              </w:rPr>
              <w:t xml:space="preserve"> %</w:t>
            </w:r>
          </w:p>
        </w:tc>
      </w:tr>
      <w:tr w:rsidR="00A25726" w14:paraId="2ADF3827" w14:textId="77777777" w:rsidTr="00813D8A">
        <w:tc>
          <w:tcPr>
            <w:tcW w:w="4508" w:type="dxa"/>
            <w:vAlign w:val="center"/>
          </w:tcPr>
          <w:p w14:paraId="0CA61D49" w14:textId="77777777" w:rsidR="00A25726" w:rsidRDefault="003077F7" w:rsidP="00813D8A">
            <w:pPr>
              <w:spacing w:before="240"/>
            </w:pPr>
            <w:r w:rsidRPr="003077F7">
              <w:t>Pää</w:t>
            </w:r>
            <w:r w:rsidR="00A25726">
              <w:t>suunnittelijan kokemus, koulutus ja referenssit</w:t>
            </w:r>
          </w:p>
        </w:tc>
        <w:tc>
          <w:tcPr>
            <w:tcW w:w="4508" w:type="dxa"/>
            <w:vAlign w:val="center"/>
          </w:tcPr>
          <w:p w14:paraId="5BBE340A" w14:textId="2DB20528" w:rsidR="00A25726" w:rsidRPr="008438A0" w:rsidRDefault="003D577C" w:rsidP="00813D8A">
            <w:pPr>
              <w:spacing w:before="240"/>
              <w:rPr>
                <w:color w:val="538135" w:themeColor="accent6" w:themeShade="BF"/>
              </w:rPr>
            </w:pPr>
            <w:r w:rsidRPr="008438A0">
              <w:rPr>
                <w:color w:val="538135" w:themeColor="accent6" w:themeShade="BF"/>
              </w:rPr>
              <w:t>20-30</w:t>
            </w:r>
            <w:r w:rsidR="00A25726" w:rsidRPr="008438A0">
              <w:rPr>
                <w:color w:val="538135" w:themeColor="accent6" w:themeShade="BF"/>
              </w:rPr>
              <w:t xml:space="preserve"> %</w:t>
            </w:r>
          </w:p>
        </w:tc>
      </w:tr>
      <w:tr w:rsidR="00A25726" w14:paraId="0120B892" w14:textId="77777777" w:rsidTr="00813D8A">
        <w:tc>
          <w:tcPr>
            <w:tcW w:w="4508" w:type="dxa"/>
            <w:vAlign w:val="center"/>
          </w:tcPr>
          <w:p w14:paraId="507A05CF" w14:textId="77777777" w:rsidR="00A25726" w:rsidRDefault="003077F7" w:rsidP="00813D8A">
            <w:pPr>
              <w:spacing w:before="240"/>
            </w:pPr>
            <w:r w:rsidRPr="003077F7">
              <w:t xml:space="preserve">Nimetyn </w:t>
            </w:r>
            <w:r w:rsidR="00A25726" w:rsidRPr="003077F7">
              <w:t>suunnittelijan</w:t>
            </w:r>
            <w:r w:rsidR="00A25726">
              <w:t xml:space="preserve"> kokemus, koulutus ja referenssit</w:t>
            </w:r>
          </w:p>
        </w:tc>
        <w:tc>
          <w:tcPr>
            <w:tcW w:w="4508" w:type="dxa"/>
            <w:vAlign w:val="center"/>
          </w:tcPr>
          <w:p w14:paraId="743DC7A3" w14:textId="748B0BA3" w:rsidR="00A25726" w:rsidRPr="008438A0" w:rsidRDefault="003D577C" w:rsidP="00813D8A">
            <w:pPr>
              <w:spacing w:before="240"/>
              <w:rPr>
                <w:color w:val="538135" w:themeColor="accent6" w:themeShade="BF"/>
              </w:rPr>
            </w:pPr>
            <w:r w:rsidRPr="008438A0">
              <w:rPr>
                <w:color w:val="538135" w:themeColor="accent6" w:themeShade="BF"/>
              </w:rPr>
              <w:t xml:space="preserve">15-25 </w:t>
            </w:r>
            <w:r w:rsidR="00A25726" w:rsidRPr="008438A0">
              <w:rPr>
                <w:color w:val="538135" w:themeColor="accent6" w:themeShade="BF"/>
              </w:rPr>
              <w:t>%</w:t>
            </w:r>
          </w:p>
        </w:tc>
      </w:tr>
      <w:tr w:rsidR="00467057" w14:paraId="64F48373" w14:textId="77777777" w:rsidTr="00813D8A">
        <w:tc>
          <w:tcPr>
            <w:tcW w:w="4508" w:type="dxa"/>
            <w:tcBorders>
              <w:bottom w:val="single" w:sz="4" w:space="0" w:color="auto"/>
            </w:tcBorders>
            <w:vAlign w:val="center"/>
          </w:tcPr>
          <w:p w14:paraId="5F55725C" w14:textId="77777777" w:rsidR="00467057" w:rsidRDefault="00467057" w:rsidP="00813D8A">
            <w:pPr>
              <w:spacing w:before="240"/>
            </w:pPr>
            <w:r>
              <w:t>Projektisuunnitelma</w:t>
            </w:r>
          </w:p>
        </w:tc>
        <w:tc>
          <w:tcPr>
            <w:tcW w:w="4508" w:type="dxa"/>
            <w:tcBorders>
              <w:bottom w:val="single" w:sz="4" w:space="0" w:color="auto"/>
            </w:tcBorders>
            <w:vAlign w:val="center"/>
          </w:tcPr>
          <w:p w14:paraId="6C110B89" w14:textId="1810F4B2" w:rsidR="00467057" w:rsidRPr="008438A0" w:rsidRDefault="00467057" w:rsidP="00813D8A">
            <w:pPr>
              <w:spacing w:before="240"/>
              <w:rPr>
                <w:color w:val="538135" w:themeColor="accent6" w:themeShade="BF"/>
              </w:rPr>
            </w:pPr>
            <w:r w:rsidRPr="008438A0">
              <w:rPr>
                <w:color w:val="538135" w:themeColor="accent6" w:themeShade="BF"/>
              </w:rPr>
              <w:t>1</w:t>
            </w:r>
            <w:r w:rsidR="00CE699B" w:rsidRPr="008438A0">
              <w:rPr>
                <w:color w:val="538135" w:themeColor="accent6" w:themeShade="BF"/>
              </w:rPr>
              <w:t>0</w:t>
            </w:r>
            <w:r w:rsidR="003D577C" w:rsidRPr="008438A0">
              <w:rPr>
                <w:color w:val="538135" w:themeColor="accent6" w:themeShade="BF"/>
              </w:rPr>
              <w:t>-20</w:t>
            </w:r>
            <w:r w:rsidRPr="008438A0">
              <w:rPr>
                <w:color w:val="538135" w:themeColor="accent6" w:themeShade="BF"/>
              </w:rPr>
              <w:t xml:space="preserve"> %</w:t>
            </w:r>
          </w:p>
        </w:tc>
      </w:tr>
    </w:tbl>
    <w:p w14:paraId="1363B636" w14:textId="77777777" w:rsidR="00090E0F" w:rsidRDefault="00961EA2" w:rsidP="003B0C9B">
      <w:pPr>
        <w:spacing w:before="240"/>
      </w:pPr>
      <w:r>
        <w:t>Parh</w:t>
      </w:r>
      <w:r w:rsidR="00A25726">
        <w:t>aan hinta-laatu suhteen tarkemmat arvioint</w:t>
      </w:r>
      <w:r>
        <w:t>i</w:t>
      </w:r>
      <w:r w:rsidR="00A25726">
        <w:t>periaatteet</w:t>
      </w:r>
      <w:r>
        <w:t xml:space="preserve"> on esitetty liitteessä </w:t>
      </w:r>
      <w:r w:rsidR="008B4030">
        <w:t>7</w:t>
      </w:r>
      <w:r w:rsidR="00A25726">
        <w:t xml:space="preserve"> ”Arviointiperusteet”</w:t>
      </w:r>
      <w:r w:rsidR="003B0C9B">
        <w:t>.</w:t>
      </w:r>
      <w:r w:rsidR="003B0C9B" w:rsidRPr="003B0C9B">
        <w:t xml:space="preserve"> </w:t>
      </w:r>
      <w:r w:rsidR="003B0C9B">
        <w:t xml:space="preserve">Arviointia varten toimitettavat asiakirjat on esitetty liitteessä </w:t>
      </w:r>
      <w:r w:rsidR="008B4030">
        <w:t>8</w:t>
      </w:r>
      <w:r w:rsidR="003B0C9B">
        <w:t xml:space="preserve"> </w:t>
      </w:r>
      <w:r w:rsidR="003B0C9B">
        <w:rPr>
          <w:lang w:eastAsia="fi-FI"/>
        </w:rPr>
        <w:t>”Luettelo tarjoukseen liitettävistä asiakirjoista ja soveltuvuusvaatimusten täyttymisen osoittamiseksi toimitettavista asiakirjoista”.</w:t>
      </w:r>
    </w:p>
    <w:p w14:paraId="7351EA84" w14:textId="77777777" w:rsidR="00090E0F" w:rsidRDefault="00090E0F" w:rsidP="00090E0F">
      <w:pPr>
        <w:pStyle w:val="Otsikko2"/>
      </w:pPr>
      <w:bookmarkStart w:id="26" w:name="_Toc469570173"/>
      <w:r>
        <w:t>Tarjousten hylkääminen</w:t>
      </w:r>
      <w:bookmarkEnd w:id="26"/>
    </w:p>
    <w:p w14:paraId="289EACEF" w14:textId="77777777" w:rsidR="00422880" w:rsidRDefault="00422880" w:rsidP="00422880">
      <w:r>
        <w:t>Tarjous voidaan sulkea pois tarjouskilpailusta, mikäli se ei ole tämän tarjouspyynnön mukainen. Hankintayksikkö on velvollinen hylkäämään tarjouksen tarjouspyynnön vastaisena</w:t>
      </w:r>
      <w:r w:rsidR="007E0ABD">
        <w:t>,</w:t>
      </w:r>
      <w:r>
        <w:t xml:space="preserve"> jos tarjouksessa on sellainen virhe tai puute, joka estää tarjouksen tasapuolisen vertailun muiden tarjouspyynnön mukaisten tarjousten kanssa.</w:t>
      </w:r>
    </w:p>
    <w:p w14:paraId="6A5D24B6" w14:textId="77777777" w:rsidR="00422880" w:rsidRPr="00090E0F" w:rsidRDefault="00422880" w:rsidP="00422880">
      <w:r w:rsidRPr="000F38E2">
        <w:t>Tarjouksen hylkääminen voi perustua myös suoraan lainsäädännöstä tai oikeuskäytännöstä ilmeneviin sellaisiin seikkoihin, joita ei ole erikseen esitetty tässä tarjouspyynnössä.</w:t>
      </w:r>
    </w:p>
    <w:p w14:paraId="12565CCC" w14:textId="77777777" w:rsidR="00C07C81" w:rsidRDefault="00C07C81" w:rsidP="00C07C81">
      <w:pPr>
        <w:pStyle w:val="Otsikko1"/>
      </w:pPr>
      <w:bookmarkStart w:id="27" w:name="_Toc469570174"/>
      <w:bookmarkStart w:id="28" w:name="_Toc469570277"/>
      <w:r>
        <w:t>Sopimus</w:t>
      </w:r>
      <w:r w:rsidR="00BB668E">
        <w:t>ehdot</w:t>
      </w:r>
      <w:bookmarkEnd w:id="27"/>
      <w:bookmarkEnd w:id="28"/>
    </w:p>
    <w:p w14:paraId="3DB839D1" w14:textId="095193A2" w:rsidR="00395CC3" w:rsidRPr="00786D89" w:rsidRDefault="00395CC3" w:rsidP="00395CC3">
      <w:pPr>
        <w:rPr>
          <w:color w:val="538135" w:themeColor="accent6" w:themeShade="BF"/>
        </w:rPr>
      </w:pPr>
      <w:bookmarkStart w:id="29" w:name="_Toc469570175"/>
      <w:r w:rsidRPr="008438A0">
        <w:rPr>
          <w:color w:val="538135" w:themeColor="accent6" w:themeShade="BF"/>
        </w:rPr>
        <w:t xml:space="preserve">(Sopimusehtoihin liittyvät asiat </w:t>
      </w:r>
      <w:proofErr w:type="gramStart"/>
      <w:r w:rsidRPr="008438A0">
        <w:rPr>
          <w:color w:val="538135" w:themeColor="accent6" w:themeShade="BF"/>
        </w:rPr>
        <w:t>on</w:t>
      </w:r>
      <w:proofErr w:type="gramEnd"/>
      <w:r w:rsidRPr="008438A0">
        <w:rPr>
          <w:color w:val="538135" w:themeColor="accent6" w:themeShade="BF"/>
        </w:rPr>
        <w:t xml:space="preserve"> suositeltavaa esittää vain yhdessä asiakirjassa ristiriitojen välttämiseksi. Tässä esimerkissä joitain sopimusehtoja on esitetty esimerkinomaisesti tarjouspyyntöön </w:t>
      </w:r>
      <w:proofErr w:type="gramStart"/>
      <w:r w:rsidRPr="008438A0">
        <w:rPr>
          <w:color w:val="538135" w:themeColor="accent6" w:themeShade="BF"/>
        </w:rPr>
        <w:t>kirjattuina</w:t>
      </w:r>
      <w:proofErr w:type="gramEnd"/>
      <w:r w:rsidR="00A01834" w:rsidRPr="008438A0">
        <w:rPr>
          <w:color w:val="538135" w:themeColor="accent6" w:themeShade="BF"/>
        </w:rPr>
        <w:t xml:space="preserve"> vaikka tarjouspyynnön liitteeksi on merkitty ”Konsulttisopimuksen luonnos”</w:t>
      </w:r>
      <w:r w:rsidRPr="008438A0">
        <w:rPr>
          <w:color w:val="538135" w:themeColor="accent6" w:themeShade="BF"/>
        </w:rPr>
        <w:t>.)</w:t>
      </w:r>
    </w:p>
    <w:p w14:paraId="1632A932" w14:textId="7A7F9139" w:rsidR="00BB668E" w:rsidRDefault="00BB668E" w:rsidP="00BB668E">
      <w:pPr>
        <w:pStyle w:val="Otsikko2"/>
      </w:pPr>
      <w:r>
        <w:t>Sopimus</w:t>
      </w:r>
      <w:bookmarkEnd w:id="29"/>
    </w:p>
    <w:p w14:paraId="3091A7A6" w14:textId="77777777" w:rsidR="00BB668E" w:rsidRDefault="00BB668E" w:rsidP="00BB668E">
      <w:r>
        <w:t xml:space="preserve">Ennen sopimuksen allekirjoitusta </w:t>
      </w:r>
      <w:r w:rsidR="000423A8">
        <w:t>valitun toimittajan kanssa</w:t>
      </w:r>
      <w:r>
        <w:t xml:space="preserve"> </w:t>
      </w:r>
      <w:r w:rsidR="00B01A05">
        <w:t xml:space="preserve">pidetään </w:t>
      </w:r>
      <w:r>
        <w:t>sopimuskatselmus, jossa käydään läpi ja tarkennetaan tarjoukseen, toimeksiannon suorittamiseen, aikatauluun ja vastuisiin liittyvät asiat.</w:t>
      </w:r>
    </w:p>
    <w:p w14:paraId="5ED965E4" w14:textId="77777777" w:rsidR="00BB668E" w:rsidRPr="00BB668E" w:rsidRDefault="00BB668E" w:rsidP="00BB668E">
      <w:r>
        <w:t>Toimeksiannon suorittamisesta laaditaan erillinen konsulttisopimus (</w:t>
      </w:r>
      <w:r w:rsidR="00C06048">
        <w:t xml:space="preserve">Liite </w:t>
      </w:r>
      <w:r w:rsidR="0011222A">
        <w:t>6</w:t>
      </w:r>
      <w:r>
        <w:t xml:space="preserve">) noudattaen Konsulttitoiminnan yleisiä sopimusehtoja KSE 2013 (RT 13–11143). Sopimukseen liitetään tämä tarjouspyyntö </w:t>
      </w:r>
      <w:r w:rsidR="00C06048">
        <w:t xml:space="preserve">liitteineen </w:t>
      </w:r>
      <w:r>
        <w:t>sekä tarjous liitteineen. Sopimuksentekovaiheessa sopimukseen</w:t>
      </w:r>
      <w:r w:rsidR="006F40EB">
        <w:t xml:space="preserve"> voidaan tehdä</w:t>
      </w:r>
      <w:r>
        <w:t xml:space="preserve"> vain sellaisia kirjauksia, jotka eivät muuta hankinnan kokonaistaloudellista edullisuutta. </w:t>
      </w:r>
    </w:p>
    <w:p w14:paraId="5526CCD2" w14:textId="77777777" w:rsidR="00C07C81" w:rsidRDefault="00C07C81" w:rsidP="00C07C81">
      <w:r>
        <w:lastRenderedPageBreak/>
        <w:t>Toimeksiannossa noudatetaan seuraavia sopimusasiakirjoja seuraavassa järjestyksessä Konsulttitoiminnan yleisten sopimusehtojen KSE</w:t>
      </w:r>
      <w:r w:rsidR="00BB668E">
        <w:t xml:space="preserve"> </w:t>
      </w:r>
      <w:r>
        <w:t>2013 kohdan 9.1 mukaisesti:</w:t>
      </w:r>
    </w:p>
    <w:p w14:paraId="4C8C6AD5" w14:textId="77777777" w:rsidR="00CA4F8B" w:rsidRDefault="00CA4F8B" w:rsidP="00CA4F8B">
      <w:pPr>
        <w:pStyle w:val="Luettelokappale"/>
        <w:numPr>
          <w:ilvl w:val="0"/>
          <w:numId w:val="4"/>
        </w:numPr>
      </w:pPr>
      <w:r>
        <w:t>Konsulttisopimus</w:t>
      </w:r>
    </w:p>
    <w:p w14:paraId="41EB3F5A" w14:textId="77777777" w:rsidR="00CA4F8B" w:rsidRPr="00B651D5" w:rsidRDefault="00CA4F8B" w:rsidP="00CA4F8B">
      <w:pPr>
        <w:pStyle w:val="Luettelokappale"/>
        <w:numPr>
          <w:ilvl w:val="1"/>
          <w:numId w:val="4"/>
        </w:numPr>
      </w:pPr>
      <w:r w:rsidRPr="00B651D5">
        <w:t>Sopimuskatselmuksen pöytäkirja</w:t>
      </w:r>
    </w:p>
    <w:p w14:paraId="78EA2E97" w14:textId="77777777" w:rsidR="00CA4F8B" w:rsidRDefault="00CA4F8B" w:rsidP="00CA4F8B">
      <w:pPr>
        <w:pStyle w:val="Luettelokappale"/>
        <w:numPr>
          <w:ilvl w:val="1"/>
          <w:numId w:val="4"/>
        </w:numPr>
      </w:pPr>
      <w:r>
        <w:t>Maksuerätaulukko ja tuntiveloitushinnasto</w:t>
      </w:r>
    </w:p>
    <w:p w14:paraId="4B0A6153" w14:textId="77777777" w:rsidR="00CA4F8B" w:rsidRDefault="00CA4F8B" w:rsidP="00CA4F8B">
      <w:pPr>
        <w:pStyle w:val="Luettelokappale"/>
        <w:numPr>
          <w:ilvl w:val="0"/>
          <w:numId w:val="4"/>
        </w:numPr>
      </w:pPr>
      <w:r>
        <w:t>Tarjouspyyntö liitteineen</w:t>
      </w:r>
    </w:p>
    <w:p w14:paraId="68447A67" w14:textId="77777777" w:rsidR="00CA4F8B" w:rsidRDefault="00CA4F8B" w:rsidP="00CA4F8B">
      <w:pPr>
        <w:pStyle w:val="Luettelokappale"/>
        <w:numPr>
          <w:ilvl w:val="0"/>
          <w:numId w:val="4"/>
        </w:numPr>
      </w:pPr>
      <w:r>
        <w:t>Konsulttitoiminnan yleiset sopimusehdot KSE 2013</w:t>
      </w:r>
    </w:p>
    <w:p w14:paraId="2618A5AD" w14:textId="77777777" w:rsidR="00D13C0E" w:rsidRDefault="00CA4F8B" w:rsidP="00142C92">
      <w:pPr>
        <w:pStyle w:val="Luettelokappale"/>
        <w:numPr>
          <w:ilvl w:val="0"/>
          <w:numId w:val="4"/>
        </w:numPr>
      </w:pPr>
      <w:r>
        <w:t>Tarjous liitteineen</w:t>
      </w:r>
    </w:p>
    <w:p w14:paraId="1A9892AD" w14:textId="77777777" w:rsidR="00D13C0E" w:rsidRDefault="00D13C0E" w:rsidP="00D13C0E">
      <w:r>
        <w:t>Ennen sopimuksen tekemistä valitun toimittajan tulee osoittaa lainmukaisin todistuksin ja selvityksin, että se täyttää tilaajavastuulain mukaiset vaatimukset.</w:t>
      </w:r>
    </w:p>
    <w:p w14:paraId="6A3FAC7E" w14:textId="77777777" w:rsidR="00142C92" w:rsidRDefault="00142C92" w:rsidP="00142C92">
      <w:r>
        <w:t>Sopimus syntyy vasta sopimuksen allekirjoittamisella.</w:t>
      </w:r>
    </w:p>
    <w:p w14:paraId="27C96013" w14:textId="77777777" w:rsidR="009C5D82" w:rsidRDefault="009C5D82" w:rsidP="009C5D82">
      <w:pPr>
        <w:pStyle w:val="Otsikko2"/>
      </w:pPr>
      <w:bookmarkStart w:id="30" w:name="_Toc469570176"/>
      <w:r>
        <w:t>Veloitusperusteet</w:t>
      </w:r>
      <w:bookmarkEnd w:id="30"/>
    </w:p>
    <w:p w14:paraId="73778DDE" w14:textId="4779AB4E" w:rsidR="00750E67" w:rsidRPr="00750E67" w:rsidRDefault="009C5D82" w:rsidP="00750E67">
      <w:r w:rsidRPr="008438A0">
        <w:t>Työn veloitusperusteena käytetään KSE 2013 kohdassa 5.</w:t>
      </w:r>
      <w:r w:rsidR="00544C52" w:rsidRPr="008438A0">
        <w:t>2</w:t>
      </w:r>
      <w:r w:rsidRPr="008438A0">
        <w:t>.</w:t>
      </w:r>
      <w:r w:rsidR="00766734" w:rsidRPr="008438A0">
        <w:t>1</w:t>
      </w:r>
      <w:r w:rsidRPr="008438A0">
        <w:t xml:space="preserve"> tarkoitettua </w:t>
      </w:r>
      <w:r w:rsidR="00766734" w:rsidRPr="008438A0">
        <w:t>kokonais</w:t>
      </w:r>
      <w:r w:rsidR="00544C52" w:rsidRPr="008438A0">
        <w:t>palkkiota</w:t>
      </w:r>
      <w:r w:rsidRPr="008438A0">
        <w:t>. Hintatarjouksessa tulee ilmoittaa</w:t>
      </w:r>
      <w:r w:rsidR="00801781" w:rsidRPr="008438A0">
        <w:t xml:space="preserve"> euroina</w:t>
      </w:r>
      <w:r w:rsidR="00E8178F" w:rsidRPr="008438A0">
        <w:t xml:space="preserve"> ilman arvonlisäveroa</w:t>
      </w:r>
      <w:r w:rsidRPr="008438A0">
        <w:t xml:space="preserve"> </w:t>
      </w:r>
      <w:r w:rsidR="00766734" w:rsidRPr="008438A0">
        <w:t>kok</w:t>
      </w:r>
      <w:r w:rsidR="0049469E" w:rsidRPr="008438A0">
        <w:t>onais</w:t>
      </w:r>
      <w:r w:rsidR="00544C52" w:rsidRPr="008438A0">
        <w:t>palkkio</w:t>
      </w:r>
      <w:r w:rsidR="003A420C" w:rsidRPr="008438A0">
        <w:t xml:space="preserve"> ja </w:t>
      </w:r>
      <w:r w:rsidR="006A12E8" w:rsidRPr="008438A0">
        <w:t>henkilöryhmien tuntiveloitushinnat SKOL-luokituksen mukaisesti</w:t>
      </w:r>
      <w:r w:rsidRPr="008438A0">
        <w:t>.</w:t>
      </w:r>
      <w:r w:rsidR="006A12E8" w:rsidRPr="008438A0">
        <w:t xml:space="preserve"> </w:t>
      </w:r>
      <w:r w:rsidR="00BE2C3F" w:rsidRPr="008438A0">
        <w:t>Tuntiveloitushinnat tulee</w:t>
      </w:r>
      <w:r w:rsidR="00544C52" w:rsidRPr="008438A0">
        <w:t xml:space="preserve"> ilmoittaa KSE 2013 kohdassa 5.2</w:t>
      </w:r>
      <w:r w:rsidR="00BE2C3F" w:rsidRPr="008438A0">
        <w:t>.</w:t>
      </w:r>
      <w:r w:rsidR="00544C52" w:rsidRPr="008438A0">
        <w:t>3</w:t>
      </w:r>
      <w:r w:rsidR="00BE2C3F" w:rsidRPr="008438A0">
        <w:t xml:space="preserve"> tarkoitettuna </w:t>
      </w:r>
      <w:r w:rsidR="00544C52" w:rsidRPr="008438A0">
        <w:t>aikapalkkiona henkilöryhmittäin</w:t>
      </w:r>
      <w:r w:rsidR="00BE2C3F" w:rsidRPr="008438A0">
        <w:t xml:space="preserve">. </w:t>
      </w:r>
      <w:r w:rsidR="006A12E8" w:rsidRPr="008438A0">
        <w:t>Mahdollisista muutos- ja lisätöistä sovitaan aina etukäteen ja ne laskutetaan hintatarjouksessa ilmoitettuihin tun</w:t>
      </w:r>
      <w:r w:rsidR="007536D0" w:rsidRPr="008438A0">
        <w:t xml:space="preserve">tiveloitushintoihin perustuen. </w:t>
      </w:r>
      <w:r w:rsidR="006C29D4" w:rsidRPr="008438A0">
        <w:t>Kokonaispalkkio</w:t>
      </w:r>
      <w:r w:rsidR="006A12E8" w:rsidRPr="008438A0">
        <w:t xml:space="preserve"> laskutetaan</w:t>
      </w:r>
      <w:r w:rsidR="00750E67" w:rsidRPr="008438A0">
        <w:t xml:space="preserve"> sopimusta tehtäessä vahvistettavan</w:t>
      </w:r>
      <w:r w:rsidR="006A12E8" w:rsidRPr="008438A0">
        <w:t xml:space="preserve"> maksuerätaulukon mukaisesti.</w:t>
      </w:r>
      <w:r w:rsidR="00750E67" w:rsidRPr="008438A0">
        <w:t xml:space="preserve"> </w:t>
      </w:r>
      <w:r w:rsidR="000C1C11" w:rsidRPr="008438A0">
        <w:rPr>
          <w:color w:val="000000" w:themeColor="text1"/>
        </w:rPr>
        <w:t>Maksuerätaulukon laadinnassa</w:t>
      </w:r>
      <w:r w:rsidR="00750E67" w:rsidRPr="008438A0">
        <w:rPr>
          <w:color w:val="000000" w:themeColor="text1"/>
        </w:rPr>
        <w:t xml:space="preserve"> noudatetaan ohjeellisesti seuraavia prosenttijakaumia</w:t>
      </w:r>
      <w:r w:rsidR="000C1C11" w:rsidRPr="008438A0">
        <w:rPr>
          <w:color w:val="000000" w:themeColor="text1"/>
        </w:rPr>
        <w:t xml:space="preserve"> hankkeen eri vaiheiden mukaisesti</w:t>
      </w:r>
      <w:r w:rsidR="00750E67" w:rsidRPr="008438A0">
        <w:rPr>
          <w:color w:val="000000" w:themeColor="text1"/>
        </w:rPr>
        <w:t>:</w:t>
      </w:r>
    </w:p>
    <w:tbl>
      <w:tblPr>
        <w:tblStyle w:val="TaulukkoRuudukko"/>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843"/>
      </w:tblGrid>
      <w:tr w:rsidR="00750E67" w:rsidRPr="00544252" w14:paraId="06640C01" w14:textId="77777777" w:rsidTr="00C758D1">
        <w:tc>
          <w:tcPr>
            <w:tcW w:w="3119" w:type="dxa"/>
            <w:tcBorders>
              <w:top w:val="single" w:sz="4" w:space="0" w:color="auto"/>
              <w:bottom w:val="single" w:sz="4" w:space="0" w:color="auto"/>
            </w:tcBorders>
          </w:tcPr>
          <w:p w14:paraId="4C8A7D1A" w14:textId="77777777" w:rsidR="00750E67" w:rsidRPr="00544252" w:rsidRDefault="00750E67" w:rsidP="00C758D1">
            <w:pPr>
              <w:spacing w:before="240"/>
              <w:rPr>
                <w:b/>
                <w:color w:val="000000" w:themeColor="text1"/>
              </w:rPr>
            </w:pPr>
            <w:r w:rsidRPr="00544252">
              <w:rPr>
                <w:b/>
                <w:color w:val="000000" w:themeColor="text1"/>
              </w:rPr>
              <w:t>Suunnitteluvaihe</w:t>
            </w:r>
          </w:p>
        </w:tc>
        <w:tc>
          <w:tcPr>
            <w:tcW w:w="1843" w:type="dxa"/>
            <w:tcBorders>
              <w:top w:val="single" w:sz="4" w:space="0" w:color="auto"/>
              <w:bottom w:val="single" w:sz="4" w:space="0" w:color="auto"/>
            </w:tcBorders>
          </w:tcPr>
          <w:p w14:paraId="77EE273B" w14:textId="77777777" w:rsidR="00750E67" w:rsidRPr="00544252" w:rsidRDefault="00750E67" w:rsidP="00C758D1">
            <w:pPr>
              <w:spacing w:before="240"/>
              <w:jc w:val="center"/>
              <w:rPr>
                <w:b/>
                <w:color w:val="000000" w:themeColor="text1"/>
              </w:rPr>
            </w:pPr>
            <w:r w:rsidRPr="00544252">
              <w:rPr>
                <w:b/>
                <w:color w:val="000000" w:themeColor="text1"/>
              </w:rPr>
              <w:t>%</w:t>
            </w:r>
          </w:p>
        </w:tc>
      </w:tr>
      <w:tr w:rsidR="00750E67" w:rsidRPr="00544252" w14:paraId="04CCCA22" w14:textId="77777777" w:rsidTr="00C758D1">
        <w:tc>
          <w:tcPr>
            <w:tcW w:w="3119" w:type="dxa"/>
            <w:tcBorders>
              <w:top w:val="single" w:sz="4" w:space="0" w:color="auto"/>
            </w:tcBorders>
          </w:tcPr>
          <w:p w14:paraId="472D48B9" w14:textId="77777777" w:rsidR="00750E67" w:rsidRPr="00544252" w:rsidRDefault="00750E67" w:rsidP="00C758D1">
            <w:pPr>
              <w:spacing w:before="240"/>
              <w:rPr>
                <w:color w:val="000000" w:themeColor="text1"/>
              </w:rPr>
            </w:pPr>
            <w:r w:rsidRPr="00544252">
              <w:rPr>
                <w:color w:val="000000" w:themeColor="text1"/>
              </w:rPr>
              <w:t>Ehdotussuunnittelu</w:t>
            </w:r>
          </w:p>
        </w:tc>
        <w:tc>
          <w:tcPr>
            <w:tcW w:w="1843" w:type="dxa"/>
            <w:tcBorders>
              <w:top w:val="single" w:sz="4" w:space="0" w:color="auto"/>
            </w:tcBorders>
          </w:tcPr>
          <w:p w14:paraId="2F4BAA30" w14:textId="7F09BF2D" w:rsidR="00750E67" w:rsidRPr="008438A0" w:rsidRDefault="003D577C" w:rsidP="00C758D1">
            <w:pPr>
              <w:spacing w:before="240"/>
              <w:jc w:val="center"/>
              <w:rPr>
                <w:color w:val="385623" w:themeColor="accent6" w:themeShade="80"/>
              </w:rPr>
            </w:pPr>
            <w:r w:rsidRPr="008438A0">
              <w:rPr>
                <w:color w:val="385623" w:themeColor="accent6" w:themeShade="80"/>
              </w:rPr>
              <w:t>5-15</w:t>
            </w:r>
            <w:r w:rsidR="00750E67" w:rsidRPr="008438A0">
              <w:rPr>
                <w:color w:val="385623" w:themeColor="accent6" w:themeShade="80"/>
              </w:rPr>
              <w:t xml:space="preserve"> %</w:t>
            </w:r>
          </w:p>
        </w:tc>
      </w:tr>
      <w:tr w:rsidR="00750E67" w:rsidRPr="00544252" w14:paraId="698C8D78" w14:textId="77777777" w:rsidTr="00C758D1">
        <w:tc>
          <w:tcPr>
            <w:tcW w:w="3119" w:type="dxa"/>
          </w:tcPr>
          <w:p w14:paraId="3F7333E6" w14:textId="77777777" w:rsidR="00750E67" w:rsidRPr="00544252" w:rsidRDefault="00750E67" w:rsidP="00C758D1">
            <w:pPr>
              <w:spacing w:before="240"/>
              <w:rPr>
                <w:color w:val="000000" w:themeColor="text1"/>
              </w:rPr>
            </w:pPr>
            <w:r w:rsidRPr="00544252">
              <w:rPr>
                <w:color w:val="000000" w:themeColor="text1"/>
              </w:rPr>
              <w:t>Luonnossuunnittelu</w:t>
            </w:r>
          </w:p>
        </w:tc>
        <w:tc>
          <w:tcPr>
            <w:tcW w:w="1843" w:type="dxa"/>
          </w:tcPr>
          <w:p w14:paraId="419AC536" w14:textId="44B15397" w:rsidR="00750E67" w:rsidRPr="008438A0" w:rsidRDefault="003D577C" w:rsidP="00C758D1">
            <w:pPr>
              <w:spacing w:before="240"/>
              <w:jc w:val="center"/>
              <w:rPr>
                <w:color w:val="385623" w:themeColor="accent6" w:themeShade="80"/>
              </w:rPr>
            </w:pPr>
            <w:r w:rsidRPr="008438A0">
              <w:rPr>
                <w:color w:val="385623" w:themeColor="accent6" w:themeShade="80"/>
              </w:rPr>
              <w:t>5-15</w:t>
            </w:r>
            <w:r w:rsidR="00750E67" w:rsidRPr="008438A0">
              <w:rPr>
                <w:color w:val="385623" w:themeColor="accent6" w:themeShade="80"/>
              </w:rPr>
              <w:t xml:space="preserve"> %</w:t>
            </w:r>
          </w:p>
        </w:tc>
      </w:tr>
      <w:tr w:rsidR="00750E67" w:rsidRPr="00544252" w14:paraId="13183DB2" w14:textId="77777777" w:rsidTr="00C758D1">
        <w:tc>
          <w:tcPr>
            <w:tcW w:w="3119" w:type="dxa"/>
          </w:tcPr>
          <w:p w14:paraId="501C212A" w14:textId="586CA4C7" w:rsidR="00750E67" w:rsidRPr="008438A0" w:rsidRDefault="00953B78" w:rsidP="00C758D1">
            <w:pPr>
              <w:spacing w:before="240"/>
              <w:rPr>
                <w:color w:val="000000" w:themeColor="text1"/>
              </w:rPr>
            </w:pPr>
            <w:r w:rsidRPr="008438A0">
              <w:rPr>
                <w:color w:val="000000" w:themeColor="text1"/>
              </w:rPr>
              <w:t>Rakennuslupatehtävät</w:t>
            </w:r>
          </w:p>
        </w:tc>
        <w:tc>
          <w:tcPr>
            <w:tcW w:w="1843" w:type="dxa"/>
          </w:tcPr>
          <w:p w14:paraId="623129AA" w14:textId="3151146E" w:rsidR="00750E67" w:rsidRPr="008438A0" w:rsidRDefault="003D577C" w:rsidP="00C758D1">
            <w:pPr>
              <w:spacing w:before="240"/>
              <w:jc w:val="center"/>
              <w:rPr>
                <w:color w:val="385623" w:themeColor="accent6" w:themeShade="80"/>
              </w:rPr>
            </w:pPr>
            <w:r w:rsidRPr="008438A0">
              <w:rPr>
                <w:color w:val="385623" w:themeColor="accent6" w:themeShade="80"/>
              </w:rPr>
              <w:t>5-15</w:t>
            </w:r>
            <w:r w:rsidR="00750E67" w:rsidRPr="008438A0">
              <w:rPr>
                <w:color w:val="385623" w:themeColor="accent6" w:themeShade="80"/>
              </w:rPr>
              <w:t xml:space="preserve"> %</w:t>
            </w:r>
          </w:p>
        </w:tc>
      </w:tr>
      <w:tr w:rsidR="00750E67" w:rsidRPr="00544252" w14:paraId="543E2C60" w14:textId="77777777" w:rsidTr="00C758D1">
        <w:tc>
          <w:tcPr>
            <w:tcW w:w="3119" w:type="dxa"/>
          </w:tcPr>
          <w:p w14:paraId="24038E76" w14:textId="77777777" w:rsidR="00750E67" w:rsidRPr="00544252" w:rsidRDefault="00750E67" w:rsidP="00C758D1">
            <w:pPr>
              <w:spacing w:before="240"/>
              <w:rPr>
                <w:color w:val="000000" w:themeColor="text1"/>
              </w:rPr>
            </w:pPr>
            <w:r w:rsidRPr="00544252">
              <w:rPr>
                <w:color w:val="000000" w:themeColor="text1"/>
              </w:rPr>
              <w:t>Toteutussuunnittelu</w:t>
            </w:r>
          </w:p>
        </w:tc>
        <w:tc>
          <w:tcPr>
            <w:tcW w:w="1843" w:type="dxa"/>
          </w:tcPr>
          <w:p w14:paraId="377D1292" w14:textId="0C641A35" w:rsidR="00750E67" w:rsidRPr="008438A0" w:rsidRDefault="003D577C" w:rsidP="00C758D1">
            <w:pPr>
              <w:spacing w:before="240"/>
              <w:jc w:val="center"/>
              <w:rPr>
                <w:color w:val="385623" w:themeColor="accent6" w:themeShade="80"/>
              </w:rPr>
            </w:pPr>
            <w:r w:rsidRPr="008438A0">
              <w:rPr>
                <w:color w:val="385623" w:themeColor="accent6" w:themeShade="80"/>
              </w:rPr>
              <w:t>35-45</w:t>
            </w:r>
            <w:r w:rsidR="00750E67" w:rsidRPr="008438A0">
              <w:rPr>
                <w:color w:val="385623" w:themeColor="accent6" w:themeShade="80"/>
              </w:rPr>
              <w:t xml:space="preserve"> %</w:t>
            </w:r>
          </w:p>
        </w:tc>
      </w:tr>
      <w:tr w:rsidR="00750E67" w:rsidRPr="00544252" w14:paraId="3C2CE9D7" w14:textId="77777777" w:rsidTr="00C758D1">
        <w:tc>
          <w:tcPr>
            <w:tcW w:w="3119" w:type="dxa"/>
          </w:tcPr>
          <w:p w14:paraId="703947B2" w14:textId="77777777" w:rsidR="00750E67" w:rsidRPr="00544252" w:rsidRDefault="00750E67" w:rsidP="00C758D1">
            <w:pPr>
              <w:spacing w:before="240"/>
              <w:rPr>
                <w:color w:val="000000" w:themeColor="text1"/>
              </w:rPr>
            </w:pPr>
            <w:r w:rsidRPr="00544252">
              <w:rPr>
                <w:color w:val="000000" w:themeColor="text1"/>
              </w:rPr>
              <w:t>Rakennusaikaiset tehtävät</w:t>
            </w:r>
          </w:p>
        </w:tc>
        <w:tc>
          <w:tcPr>
            <w:tcW w:w="1843" w:type="dxa"/>
          </w:tcPr>
          <w:p w14:paraId="60807C49" w14:textId="136DBC0E" w:rsidR="00750E67" w:rsidRPr="008438A0" w:rsidRDefault="003D577C" w:rsidP="00C758D1">
            <w:pPr>
              <w:spacing w:before="240"/>
              <w:jc w:val="center"/>
              <w:rPr>
                <w:color w:val="385623" w:themeColor="accent6" w:themeShade="80"/>
              </w:rPr>
            </w:pPr>
            <w:r w:rsidRPr="008438A0">
              <w:rPr>
                <w:color w:val="385623" w:themeColor="accent6" w:themeShade="80"/>
              </w:rPr>
              <w:t>25-35</w:t>
            </w:r>
            <w:r w:rsidR="00750E67" w:rsidRPr="008438A0">
              <w:rPr>
                <w:color w:val="385623" w:themeColor="accent6" w:themeShade="80"/>
              </w:rPr>
              <w:t xml:space="preserve"> %</w:t>
            </w:r>
          </w:p>
        </w:tc>
      </w:tr>
    </w:tbl>
    <w:p w14:paraId="483A71C1" w14:textId="069B02CB" w:rsidR="00E14955" w:rsidRDefault="00766734" w:rsidP="00D46ED6">
      <w:pPr>
        <w:spacing w:before="240"/>
        <w:rPr>
          <w:color w:val="000000" w:themeColor="text1"/>
        </w:rPr>
      </w:pPr>
      <w:r w:rsidRPr="008438A0">
        <w:rPr>
          <w:color w:val="000000" w:themeColor="text1"/>
        </w:rPr>
        <w:t>Tässä tarjouspyynnössä ja sen liitteissä eriteltyjen te</w:t>
      </w:r>
      <w:r w:rsidR="00BB7149" w:rsidRPr="008438A0">
        <w:rPr>
          <w:color w:val="000000" w:themeColor="text1"/>
        </w:rPr>
        <w:t>htävien lisäksi kokonais</w:t>
      </w:r>
      <w:r w:rsidR="00E14955" w:rsidRPr="008438A0">
        <w:rPr>
          <w:color w:val="000000" w:themeColor="text1"/>
        </w:rPr>
        <w:t>palkkion</w:t>
      </w:r>
      <w:r w:rsidRPr="008438A0">
        <w:rPr>
          <w:color w:val="000000" w:themeColor="text1"/>
        </w:rPr>
        <w:t xml:space="preserve"> tulee sisältää </w:t>
      </w:r>
      <w:r w:rsidR="003D577C" w:rsidRPr="008438A0">
        <w:rPr>
          <w:color w:val="000000" w:themeColor="text1"/>
        </w:rPr>
        <w:t>x</w:t>
      </w:r>
      <w:r w:rsidR="00F9281A" w:rsidRPr="008438A0">
        <w:rPr>
          <w:color w:val="000000" w:themeColor="text1"/>
        </w:rPr>
        <w:t xml:space="preserve"> kpl suunnittelukokouksia/kk koko suunnitteluajan ja </w:t>
      </w:r>
      <w:r w:rsidR="003D577C" w:rsidRPr="008438A0">
        <w:rPr>
          <w:color w:val="000000" w:themeColor="text1"/>
        </w:rPr>
        <w:t>x</w:t>
      </w:r>
      <w:r w:rsidR="00F9281A" w:rsidRPr="008438A0">
        <w:rPr>
          <w:color w:val="000000" w:themeColor="text1"/>
        </w:rPr>
        <w:t xml:space="preserve"> kpl työmaakokouksia/kk koko rakennusajan. Lisäksi kok</w:t>
      </w:r>
      <w:r w:rsidR="003C1CFE" w:rsidRPr="008438A0">
        <w:rPr>
          <w:color w:val="000000" w:themeColor="text1"/>
        </w:rPr>
        <w:t>onais</w:t>
      </w:r>
      <w:r w:rsidR="00E14955" w:rsidRPr="008438A0">
        <w:rPr>
          <w:color w:val="000000" w:themeColor="text1"/>
        </w:rPr>
        <w:t xml:space="preserve">palkkion </w:t>
      </w:r>
      <w:r w:rsidR="00F9281A" w:rsidRPr="008438A0">
        <w:rPr>
          <w:color w:val="000000" w:themeColor="text1"/>
        </w:rPr>
        <w:t xml:space="preserve">tulee sisältää </w:t>
      </w:r>
      <w:r w:rsidR="003D577C" w:rsidRPr="008438A0">
        <w:rPr>
          <w:color w:val="000000" w:themeColor="text1"/>
        </w:rPr>
        <w:t>x</w:t>
      </w:r>
      <w:r w:rsidR="00F9281A" w:rsidRPr="008438A0">
        <w:rPr>
          <w:color w:val="000000" w:themeColor="text1"/>
        </w:rPr>
        <w:t xml:space="preserve"> kpl työmaa-aikaisia suunnittelukäyntejä koko hankkeen ajalle. </w:t>
      </w:r>
      <w:r w:rsidR="00E14955" w:rsidRPr="008438A0">
        <w:rPr>
          <w:color w:val="000000" w:themeColor="text1"/>
        </w:rPr>
        <w:t xml:space="preserve">Mahdolliset ylimääräiset </w:t>
      </w:r>
      <w:r w:rsidR="00E8178F" w:rsidRPr="008438A0">
        <w:rPr>
          <w:color w:val="000000" w:themeColor="text1"/>
        </w:rPr>
        <w:t>työmaakäynni</w:t>
      </w:r>
      <w:r w:rsidR="00E14955" w:rsidRPr="008438A0">
        <w:rPr>
          <w:color w:val="000000" w:themeColor="text1"/>
        </w:rPr>
        <w:t xml:space="preserve">t </w:t>
      </w:r>
      <w:r w:rsidR="003A645C" w:rsidRPr="008438A0">
        <w:rPr>
          <w:color w:val="000000" w:themeColor="text1"/>
        </w:rPr>
        <w:t>laskutetaan</w:t>
      </w:r>
      <w:r w:rsidR="00E14955" w:rsidRPr="008438A0">
        <w:rPr>
          <w:color w:val="000000" w:themeColor="text1"/>
        </w:rPr>
        <w:t xml:space="preserve"> annettuihin tuntiveloitushintoihin perustuen.</w:t>
      </w:r>
    </w:p>
    <w:p w14:paraId="697252AE" w14:textId="77777777" w:rsidR="00090E0F" w:rsidRDefault="00090E0F" w:rsidP="00090E0F">
      <w:pPr>
        <w:pStyle w:val="Otsikko1"/>
      </w:pPr>
      <w:bookmarkStart w:id="31" w:name="_Toc469570177"/>
      <w:bookmarkStart w:id="32" w:name="_Toc469570278"/>
      <w:r>
        <w:t>Lisätiedot</w:t>
      </w:r>
      <w:bookmarkEnd w:id="31"/>
      <w:bookmarkEnd w:id="32"/>
    </w:p>
    <w:p w14:paraId="61DAC01D" w14:textId="2E1600E7" w:rsidR="00090E0F" w:rsidRDefault="00090E0F" w:rsidP="00090E0F">
      <w:pPr>
        <w:rPr>
          <w:lang w:eastAsia="fi-FI"/>
        </w:rPr>
      </w:pPr>
      <w:r w:rsidRPr="00F16AE6">
        <w:rPr>
          <w:lang w:eastAsia="fi-FI"/>
        </w:rPr>
        <w:t xml:space="preserve">Hankintaa koskevat kysymykset tulee esittää hankintayksikön kilpailutusjärjestämässä. </w:t>
      </w:r>
      <w:r w:rsidR="00FB5967">
        <w:rPr>
          <w:lang w:eastAsia="fi-FI"/>
        </w:rPr>
        <w:t xml:space="preserve">Kysymykset tulee esittää </w:t>
      </w:r>
      <w:proofErr w:type="spellStart"/>
      <w:r w:rsidR="00FB5967">
        <w:rPr>
          <w:lang w:eastAsia="fi-FI"/>
        </w:rPr>
        <w:t>pp.</w:t>
      </w:r>
      <w:proofErr w:type="gramStart"/>
      <w:r w:rsidR="00FB5967">
        <w:rPr>
          <w:lang w:eastAsia="fi-FI"/>
        </w:rPr>
        <w:t>kk.vvvv</w:t>
      </w:r>
      <w:proofErr w:type="spellEnd"/>
      <w:proofErr w:type="gramEnd"/>
      <w:r w:rsidR="00FB5967">
        <w:rPr>
          <w:lang w:eastAsia="fi-FI"/>
        </w:rPr>
        <w:t xml:space="preserve"> klo </w:t>
      </w:r>
      <w:proofErr w:type="spellStart"/>
      <w:r w:rsidR="00FB5967">
        <w:rPr>
          <w:lang w:eastAsia="fi-FI"/>
        </w:rPr>
        <w:t>hh:mm</w:t>
      </w:r>
      <w:proofErr w:type="spellEnd"/>
      <w:r w:rsidR="00FB5967">
        <w:rPr>
          <w:lang w:eastAsia="fi-FI"/>
        </w:rPr>
        <w:t xml:space="preserve"> mennessä. Kaikkiin kysymyksiin tullaan vastaamaan </w:t>
      </w:r>
      <w:proofErr w:type="spellStart"/>
      <w:r w:rsidR="00FB5967">
        <w:rPr>
          <w:lang w:eastAsia="fi-FI"/>
        </w:rPr>
        <w:t>pp.</w:t>
      </w:r>
      <w:proofErr w:type="gramStart"/>
      <w:r w:rsidR="00FB5967">
        <w:rPr>
          <w:lang w:eastAsia="fi-FI"/>
        </w:rPr>
        <w:t>kk.vvvv</w:t>
      </w:r>
      <w:proofErr w:type="spellEnd"/>
      <w:proofErr w:type="gramEnd"/>
      <w:r w:rsidR="00FB5967">
        <w:rPr>
          <w:lang w:eastAsia="fi-FI"/>
        </w:rPr>
        <w:t xml:space="preserve"> klo </w:t>
      </w:r>
      <w:proofErr w:type="spellStart"/>
      <w:r w:rsidR="00FB5967">
        <w:rPr>
          <w:lang w:eastAsia="fi-FI"/>
        </w:rPr>
        <w:t>hh:mm</w:t>
      </w:r>
      <w:proofErr w:type="spellEnd"/>
      <w:r w:rsidR="00FB5967">
        <w:rPr>
          <w:lang w:eastAsia="fi-FI"/>
        </w:rPr>
        <w:t xml:space="preserve"> mennessä ja kysymykset vastauksineen julkaistaan </w:t>
      </w:r>
      <w:r w:rsidR="00FB5967" w:rsidRPr="00DB3712">
        <w:rPr>
          <w:highlight w:val="yellow"/>
          <w:lang w:eastAsia="fi-FI"/>
        </w:rPr>
        <w:lastRenderedPageBreak/>
        <w:t>kilpailutus</w:t>
      </w:r>
      <w:r w:rsidR="00DB3712" w:rsidRPr="00DB3712">
        <w:rPr>
          <w:highlight w:val="yellow"/>
          <w:lang w:eastAsia="fi-FI"/>
        </w:rPr>
        <w:t>järjestelmässä</w:t>
      </w:r>
      <w:r w:rsidR="00FB5967">
        <w:rPr>
          <w:lang w:eastAsia="fi-FI"/>
        </w:rPr>
        <w:t>.</w:t>
      </w:r>
      <w:r w:rsidRPr="00F16AE6">
        <w:rPr>
          <w:lang w:eastAsia="fi-FI"/>
        </w:rPr>
        <w:t xml:space="preserve"> </w:t>
      </w:r>
      <w:r>
        <w:rPr>
          <w:lang w:eastAsia="fi-FI"/>
        </w:rPr>
        <w:t>Hankintayksikö julkaisee mahdolliset lisäkirjeet kilpailutusjärjestelmässä.</w:t>
      </w:r>
    </w:p>
    <w:p w14:paraId="20090FC0" w14:textId="3356259B" w:rsidR="00C305BF" w:rsidRDefault="00DB3712" w:rsidP="00090E0F">
      <w:pPr>
        <w:rPr>
          <w:lang w:eastAsia="fi-FI"/>
        </w:rPr>
      </w:pPr>
      <w:r w:rsidRPr="00DB3712">
        <w:rPr>
          <w:highlight w:val="yellow"/>
          <w:lang w:eastAsia="fi-FI"/>
        </w:rPr>
        <w:t>Kilpailutusjärjestelmän</w:t>
      </w:r>
      <w:r w:rsidRPr="00DB3712">
        <w:rPr>
          <w:lang w:eastAsia="fi-FI"/>
        </w:rPr>
        <w:t xml:space="preserve"> </w:t>
      </w:r>
      <w:r w:rsidR="00090E0F" w:rsidRPr="00F16AE6">
        <w:rPr>
          <w:lang w:eastAsia="fi-FI"/>
        </w:rPr>
        <w:t xml:space="preserve">käyttöön liittyvissä kysymyksissä tulee olla yhteydessä </w:t>
      </w:r>
      <w:r w:rsidR="00C758D1">
        <w:rPr>
          <w:lang w:eastAsia="fi-FI"/>
        </w:rPr>
        <w:t>kohdassa 2</w:t>
      </w:r>
      <w:r w:rsidR="00090E0F" w:rsidRPr="00F16AE6">
        <w:rPr>
          <w:lang w:eastAsia="fi-FI"/>
        </w:rPr>
        <w:t xml:space="preserve"> esitettyyn yhteyshenkilöön sähköpostitse.</w:t>
      </w:r>
    </w:p>
    <w:p w14:paraId="45AFC6F6" w14:textId="0F7C4CA4" w:rsidR="002316E2" w:rsidRDefault="002316E2" w:rsidP="00C66439"/>
    <w:p w14:paraId="037097B9" w14:textId="77777777" w:rsidR="002316E2" w:rsidRDefault="002316E2" w:rsidP="00C66439"/>
    <w:p w14:paraId="11794B35" w14:textId="77777777" w:rsidR="002316E2" w:rsidRDefault="002316E2" w:rsidP="00C66439"/>
    <w:p w14:paraId="7546F02A" w14:textId="77777777" w:rsidR="00C66439" w:rsidRDefault="00C66439" w:rsidP="00C66439"/>
    <w:p w14:paraId="3D787923" w14:textId="77777777" w:rsidR="00C66439" w:rsidRDefault="00C66439" w:rsidP="00C66439">
      <w:pPr>
        <w:rPr>
          <w:u w:val="single"/>
        </w:rPr>
      </w:pPr>
      <w:r>
        <w:rPr>
          <w:u w:val="single"/>
        </w:rPr>
        <w:t>_________________________</w:t>
      </w:r>
    </w:p>
    <w:p w14:paraId="51CC138C" w14:textId="77777777" w:rsidR="00C66439" w:rsidRDefault="00C66439" w:rsidP="00C66439">
      <w:pPr>
        <w:rPr>
          <w:u w:val="single"/>
        </w:rPr>
      </w:pPr>
    </w:p>
    <w:p w14:paraId="1D16C7EA" w14:textId="77777777" w:rsidR="00C66439" w:rsidRPr="00C305BF" w:rsidRDefault="00C66439" w:rsidP="00C66439">
      <w:r>
        <w:t>Allekirjoitus ja nimenselvennys</w:t>
      </w:r>
    </w:p>
    <w:p w14:paraId="0E001E9F" w14:textId="77777777" w:rsidR="00C66439" w:rsidRPr="00090E0F" w:rsidRDefault="00C66439" w:rsidP="00090E0F">
      <w:r>
        <w:t xml:space="preserve">PVM </w:t>
      </w:r>
      <w:proofErr w:type="spellStart"/>
      <w:r>
        <w:t>pp.</w:t>
      </w:r>
      <w:proofErr w:type="gramStart"/>
      <w:r>
        <w:t>kk.vvvv</w:t>
      </w:r>
      <w:proofErr w:type="spellEnd"/>
      <w:proofErr w:type="gramEnd"/>
      <w:r>
        <w:t xml:space="preserve">, </w:t>
      </w:r>
      <w:proofErr w:type="spellStart"/>
      <w:r>
        <w:t>Kuntala</w:t>
      </w:r>
      <w:proofErr w:type="spellEnd"/>
    </w:p>
    <w:p w14:paraId="35A37F99" w14:textId="77777777" w:rsidR="006A48FB" w:rsidRDefault="008A54A6" w:rsidP="008A54A6">
      <w:pPr>
        <w:pStyle w:val="Otsikko1"/>
      </w:pPr>
      <w:bookmarkStart w:id="33" w:name="_Toc469570178"/>
      <w:bookmarkStart w:id="34" w:name="_Toc469570279"/>
      <w:r>
        <w:t>Liitteet</w:t>
      </w:r>
      <w:bookmarkEnd w:id="33"/>
      <w:bookmarkEnd w:id="34"/>
    </w:p>
    <w:p w14:paraId="5C62CF25" w14:textId="77777777" w:rsidR="00A16116" w:rsidRDefault="00464605" w:rsidP="00A16116">
      <w:pPr>
        <w:pStyle w:val="Luettelokappale"/>
        <w:numPr>
          <w:ilvl w:val="0"/>
          <w:numId w:val="6"/>
        </w:numPr>
        <w:spacing w:after="0"/>
        <w:rPr>
          <w:lang w:eastAsia="fi-FI"/>
        </w:rPr>
      </w:pPr>
      <w:r>
        <w:rPr>
          <w:lang w:eastAsia="fi-FI"/>
        </w:rPr>
        <w:t>Liite 1</w:t>
      </w:r>
      <w:r w:rsidR="00A16116">
        <w:rPr>
          <w:lang w:eastAsia="fi-FI"/>
        </w:rPr>
        <w:t xml:space="preserve"> ”Hankeohjelma”</w:t>
      </w:r>
    </w:p>
    <w:p w14:paraId="55B1B1FB" w14:textId="77777777" w:rsidR="00A16116" w:rsidRDefault="00A16116" w:rsidP="00A16116">
      <w:pPr>
        <w:pStyle w:val="Luettelokappale"/>
        <w:numPr>
          <w:ilvl w:val="0"/>
          <w:numId w:val="6"/>
        </w:numPr>
        <w:spacing w:after="0"/>
        <w:rPr>
          <w:lang w:eastAsia="fi-FI"/>
        </w:rPr>
      </w:pPr>
      <w:r>
        <w:rPr>
          <w:lang w:eastAsia="fi-FI"/>
        </w:rPr>
        <w:t xml:space="preserve">Liite </w:t>
      </w:r>
      <w:r w:rsidRPr="00795195">
        <w:t xml:space="preserve">2 ” </w:t>
      </w:r>
      <w:r w:rsidRPr="00795195">
        <w:rPr>
          <w:lang w:eastAsia="fi-FI"/>
        </w:rPr>
        <w:t>RT 10–11106</w:t>
      </w:r>
      <w:r>
        <w:rPr>
          <w:lang w:eastAsia="fi-FI"/>
        </w:rPr>
        <w:t xml:space="preserve"> Hanketietokortti HT12 (täytetty)”</w:t>
      </w:r>
    </w:p>
    <w:p w14:paraId="1D05C779" w14:textId="77777777" w:rsidR="00D274C4" w:rsidRDefault="00464605" w:rsidP="00D274C4">
      <w:pPr>
        <w:pStyle w:val="Luettelokappale"/>
        <w:numPr>
          <w:ilvl w:val="0"/>
          <w:numId w:val="6"/>
        </w:numPr>
        <w:spacing w:after="0"/>
        <w:rPr>
          <w:lang w:eastAsia="fi-FI"/>
        </w:rPr>
      </w:pPr>
      <w:r>
        <w:rPr>
          <w:lang w:eastAsia="fi-FI"/>
        </w:rPr>
        <w:t>Liite 3</w:t>
      </w:r>
      <w:r w:rsidR="00D274C4">
        <w:rPr>
          <w:lang w:eastAsia="fi-FI"/>
        </w:rPr>
        <w:t xml:space="preserve"> ”</w:t>
      </w:r>
      <w:r w:rsidR="007E0ABD">
        <w:rPr>
          <w:lang w:eastAsia="fi-FI"/>
        </w:rPr>
        <w:t>Arkkitehtisuunnittelun tehtäväluettelo ARK</w:t>
      </w:r>
      <w:r w:rsidR="00D274C4">
        <w:rPr>
          <w:lang w:eastAsia="fi-FI"/>
        </w:rPr>
        <w:t>12 (rajauksin ja merkittyine lisätehtävineen)”</w:t>
      </w:r>
    </w:p>
    <w:p w14:paraId="01C225E8" w14:textId="77777777" w:rsidR="008930DC" w:rsidRDefault="00464605" w:rsidP="00D274C4">
      <w:pPr>
        <w:pStyle w:val="Luettelokappale"/>
        <w:numPr>
          <w:ilvl w:val="0"/>
          <w:numId w:val="6"/>
        </w:numPr>
        <w:spacing w:after="0"/>
        <w:rPr>
          <w:lang w:eastAsia="fi-FI"/>
        </w:rPr>
      </w:pPr>
      <w:r>
        <w:rPr>
          <w:lang w:eastAsia="fi-FI"/>
        </w:rPr>
        <w:t>Liite 4</w:t>
      </w:r>
      <w:r w:rsidR="008930DC">
        <w:rPr>
          <w:lang w:eastAsia="fi-FI"/>
        </w:rPr>
        <w:t xml:space="preserve"> ”Pääsuunnittelun tehtäväluettelo PS12 (rajauksin ja merkittyine lisätehtävineen)”</w:t>
      </w:r>
    </w:p>
    <w:p w14:paraId="1034EA8F" w14:textId="77777777" w:rsidR="00D274C4" w:rsidRDefault="00981777" w:rsidP="00D274C4">
      <w:pPr>
        <w:pStyle w:val="Luettelokappale"/>
        <w:numPr>
          <w:ilvl w:val="0"/>
          <w:numId w:val="6"/>
        </w:numPr>
        <w:spacing w:after="0"/>
        <w:rPr>
          <w:lang w:eastAsia="fi-FI"/>
        </w:rPr>
      </w:pPr>
      <w:r>
        <w:rPr>
          <w:lang w:eastAsia="fi-FI"/>
        </w:rPr>
        <w:t>Liite 5</w:t>
      </w:r>
      <w:r w:rsidR="00D274C4">
        <w:rPr>
          <w:lang w:eastAsia="fi-FI"/>
        </w:rPr>
        <w:t xml:space="preserve"> ”Suunnitteluohje”</w:t>
      </w:r>
    </w:p>
    <w:p w14:paraId="5917290C" w14:textId="77777777" w:rsidR="00C06048" w:rsidRDefault="00981777" w:rsidP="00D274C4">
      <w:pPr>
        <w:pStyle w:val="Luettelokappale"/>
        <w:numPr>
          <w:ilvl w:val="0"/>
          <w:numId w:val="6"/>
        </w:numPr>
        <w:spacing w:after="0"/>
        <w:rPr>
          <w:lang w:eastAsia="fi-FI"/>
        </w:rPr>
      </w:pPr>
      <w:r>
        <w:rPr>
          <w:lang w:eastAsia="fi-FI"/>
        </w:rPr>
        <w:t>Liite 6</w:t>
      </w:r>
      <w:r w:rsidR="00C06048">
        <w:rPr>
          <w:lang w:eastAsia="fi-FI"/>
        </w:rPr>
        <w:t xml:space="preserve"> ”Konsulttisopimuksen luonnos”</w:t>
      </w:r>
    </w:p>
    <w:p w14:paraId="688E8B92" w14:textId="77777777" w:rsidR="00961EA2" w:rsidRDefault="00981777" w:rsidP="00D274C4">
      <w:pPr>
        <w:pStyle w:val="Luettelokappale"/>
        <w:numPr>
          <w:ilvl w:val="0"/>
          <w:numId w:val="6"/>
        </w:numPr>
        <w:spacing w:after="0"/>
        <w:rPr>
          <w:lang w:eastAsia="fi-FI"/>
        </w:rPr>
      </w:pPr>
      <w:r>
        <w:rPr>
          <w:lang w:eastAsia="fi-FI"/>
        </w:rPr>
        <w:t>Liite 7</w:t>
      </w:r>
      <w:r w:rsidR="00961EA2">
        <w:rPr>
          <w:lang w:eastAsia="fi-FI"/>
        </w:rPr>
        <w:t xml:space="preserve"> ”Arviointiperusteet”</w:t>
      </w:r>
    </w:p>
    <w:p w14:paraId="3F8D548E" w14:textId="77777777" w:rsidR="00245BC0" w:rsidRDefault="00981777" w:rsidP="00D274C4">
      <w:pPr>
        <w:pStyle w:val="Luettelokappale"/>
        <w:numPr>
          <w:ilvl w:val="0"/>
          <w:numId w:val="6"/>
        </w:numPr>
        <w:spacing w:after="0"/>
        <w:rPr>
          <w:lang w:eastAsia="fi-FI"/>
        </w:rPr>
      </w:pPr>
      <w:r>
        <w:rPr>
          <w:lang w:eastAsia="fi-FI"/>
        </w:rPr>
        <w:t>Liite 8</w:t>
      </w:r>
      <w:r w:rsidR="00245BC0">
        <w:rPr>
          <w:lang w:eastAsia="fi-FI"/>
        </w:rPr>
        <w:t xml:space="preserve"> ”Luettelo t</w:t>
      </w:r>
      <w:r w:rsidR="007726F1">
        <w:rPr>
          <w:lang w:eastAsia="fi-FI"/>
        </w:rPr>
        <w:t xml:space="preserve">arjoukseen liitettävistä </w:t>
      </w:r>
      <w:r w:rsidR="00245BC0">
        <w:rPr>
          <w:lang w:eastAsia="fi-FI"/>
        </w:rPr>
        <w:t>asiakirjoista ja soveltuvuusvaatimusten täyttymisen osoittamiseksi toimitettavista asiakirjoista”</w:t>
      </w:r>
    </w:p>
    <w:p w14:paraId="2BF1905F" w14:textId="77777777" w:rsidR="00F846D2" w:rsidRDefault="00981777" w:rsidP="00D274C4">
      <w:pPr>
        <w:pStyle w:val="Luettelokappale"/>
        <w:numPr>
          <w:ilvl w:val="0"/>
          <w:numId w:val="6"/>
        </w:numPr>
        <w:spacing w:after="0"/>
        <w:rPr>
          <w:lang w:eastAsia="fi-FI"/>
        </w:rPr>
      </w:pPr>
      <w:r>
        <w:rPr>
          <w:lang w:eastAsia="fi-FI"/>
        </w:rPr>
        <w:t>Liite 9</w:t>
      </w:r>
      <w:r w:rsidR="007E0ABD">
        <w:rPr>
          <w:lang w:eastAsia="fi-FI"/>
        </w:rPr>
        <w:t xml:space="preserve"> ”Arkkitehtis</w:t>
      </w:r>
      <w:r w:rsidR="00F846D2">
        <w:rPr>
          <w:lang w:eastAsia="fi-FI"/>
        </w:rPr>
        <w:t>uunnittelun rajapinnat”</w:t>
      </w:r>
    </w:p>
    <w:p w14:paraId="6D3C5C9C" w14:textId="77777777" w:rsidR="00577550" w:rsidRDefault="00981777" w:rsidP="00577550">
      <w:pPr>
        <w:pStyle w:val="Luettelokappale"/>
        <w:numPr>
          <w:ilvl w:val="0"/>
          <w:numId w:val="6"/>
        </w:numPr>
        <w:spacing w:after="0"/>
        <w:rPr>
          <w:lang w:eastAsia="fi-FI"/>
        </w:rPr>
      </w:pPr>
      <w:r>
        <w:rPr>
          <w:lang w:eastAsia="fi-FI"/>
        </w:rPr>
        <w:t>Liite 10</w:t>
      </w:r>
      <w:r w:rsidR="00577550">
        <w:rPr>
          <w:lang w:eastAsia="fi-FI"/>
        </w:rPr>
        <w:t xml:space="preserve"> ”Yhteinen eurooppalainen hankinta-asiakirja” (hankintayksikön esitäyttämä)</w:t>
      </w:r>
    </w:p>
    <w:p w14:paraId="3FB9AD2E" w14:textId="77777777" w:rsidR="00577550" w:rsidRDefault="00577550" w:rsidP="00577550">
      <w:pPr>
        <w:spacing w:after="0"/>
        <w:rPr>
          <w:lang w:eastAsia="fi-FI"/>
        </w:rPr>
      </w:pPr>
    </w:p>
    <w:p w14:paraId="513595C0" w14:textId="77777777" w:rsidR="00C305BF" w:rsidRPr="00C305BF" w:rsidRDefault="00C305BF" w:rsidP="00A16116">
      <w:pPr>
        <w:rPr>
          <w:u w:val="single"/>
        </w:rPr>
      </w:pPr>
    </w:p>
    <w:sectPr w:rsidR="00C305BF" w:rsidRPr="00C305BF" w:rsidSect="00195A2B">
      <w:pgSz w:w="11906" w:h="16838"/>
      <w:pgMar w:top="1418"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A4A63" w14:textId="77777777" w:rsidR="00910C4C" w:rsidRDefault="00910C4C" w:rsidP="00910C4C">
      <w:pPr>
        <w:spacing w:after="0" w:line="240" w:lineRule="auto"/>
      </w:pPr>
      <w:r>
        <w:separator/>
      </w:r>
    </w:p>
  </w:endnote>
  <w:endnote w:type="continuationSeparator" w:id="0">
    <w:p w14:paraId="270B1C1A" w14:textId="77777777" w:rsidR="00910C4C" w:rsidRDefault="00910C4C" w:rsidP="0091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06CC6" w14:textId="77777777" w:rsidR="00910C4C" w:rsidRDefault="00910C4C" w:rsidP="00910C4C">
      <w:pPr>
        <w:spacing w:after="0" w:line="240" w:lineRule="auto"/>
      </w:pPr>
      <w:r>
        <w:separator/>
      </w:r>
    </w:p>
  </w:footnote>
  <w:footnote w:type="continuationSeparator" w:id="0">
    <w:p w14:paraId="1B0889F8" w14:textId="77777777" w:rsidR="00910C4C" w:rsidRDefault="00910C4C" w:rsidP="00910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F627C" w14:textId="3641E2EC" w:rsidR="00910C4C" w:rsidRDefault="0080334C" w:rsidP="00910C4C">
    <w:pPr>
      <w:pStyle w:val="Yltunniste"/>
    </w:pPr>
    <w:r>
      <w:t>RTS 16:60:TP:2.2_2</w:t>
    </w:r>
    <w:r w:rsidR="00910C4C">
      <w:tab/>
    </w:r>
    <w:r w:rsidR="00910C4C">
      <w:tab/>
    </w:r>
    <w:r w:rsidR="00910C4C">
      <w:fldChar w:fldCharType="begin"/>
    </w:r>
    <w:r w:rsidR="00910C4C">
      <w:instrText>PAGE   \* MERGEFORMAT</w:instrText>
    </w:r>
    <w:r w:rsidR="00910C4C">
      <w:fldChar w:fldCharType="separate"/>
    </w:r>
    <w:r w:rsidR="001373FE">
      <w:rPr>
        <w:noProof/>
      </w:rPr>
      <w:t>10</w:t>
    </w:r>
    <w:r w:rsidR="00910C4C">
      <w:fldChar w:fldCharType="end"/>
    </w:r>
  </w:p>
  <w:p w14:paraId="4E020B48" w14:textId="77777777" w:rsidR="00910C4C" w:rsidRDefault="00910C4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653"/>
    <w:multiLevelType w:val="hybridMultilevel"/>
    <w:tmpl w:val="A75C0696"/>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1" w15:restartNumberingAfterBreak="0">
    <w:nsid w:val="05566331"/>
    <w:multiLevelType w:val="hybridMultilevel"/>
    <w:tmpl w:val="3418EA6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3A78CD"/>
    <w:multiLevelType w:val="hybridMultilevel"/>
    <w:tmpl w:val="444C7618"/>
    <w:lvl w:ilvl="0" w:tplc="040B0011">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E7F5889"/>
    <w:multiLevelType w:val="hybridMultilevel"/>
    <w:tmpl w:val="D778D7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44604BD"/>
    <w:multiLevelType w:val="hybridMultilevel"/>
    <w:tmpl w:val="048258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63366B6"/>
    <w:multiLevelType w:val="multilevel"/>
    <w:tmpl w:val="CD9202B2"/>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6" w15:restartNumberingAfterBreak="0">
    <w:nsid w:val="17F70508"/>
    <w:multiLevelType w:val="hybridMultilevel"/>
    <w:tmpl w:val="1E2620F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6E7097"/>
    <w:multiLevelType w:val="hybridMultilevel"/>
    <w:tmpl w:val="559C9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C3119B2"/>
    <w:multiLevelType w:val="hybridMultilevel"/>
    <w:tmpl w:val="04A80D2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1333CBD"/>
    <w:multiLevelType w:val="hybridMultilevel"/>
    <w:tmpl w:val="BFFEF3B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30343F0"/>
    <w:multiLevelType w:val="hybridMultilevel"/>
    <w:tmpl w:val="0BCCD2A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4572A36"/>
    <w:multiLevelType w:val="hybridMultilevel"/>
    <w:tmpl w:val="2DD21C4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9651543"/>
    <w:multiLevelType w:val="hybridMultilevel"/>
    <w:tmpl w:val="DBA02F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DE37AFF"/>
    <w:multiLevelType w:val="hybridMultilevel"/>
    <w:tmpl w:val="9594B4C0"/>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82508A0"/>
    <w:multiLevelType w:val="hybridMultilevel"/>
    <w:tmpl w:val="41EC76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223519C"/>
    <w:multiLevelType w:val="hybridMultilevel"/>
    <w:tmpl w:val="380A61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26E5412"/>
    <w:multiLevelType w:val="hybridMultilevel"/>
    <w:tmpl w:val="ECC6FF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1B74959"/>
    <w:multiLevelType w:val="hybridMultilevel"/>
    <w:tmpl w:val="3A620F76"/>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9E7607D"/>
    <w:multiLevelType w:val="hybridMultilevel"/>
    <w:tmpl w:val="AD947552"/>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7A282815"/>
    <w:multiLevelType w:val="hybridMultilevel"/>
    <w:tmpl w:val="BB66DD8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AB713B0"/>
    <w:multiLevelType w:val="hybridMultilevel"/>
    <w:tmpl w:val="091029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F0C4995"/>
    <w:multiLevelType w:val="hybridMultilevel"/>
    <w:tmpl w:val="2DCAFB38"/>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1"/>
  </w:num>
  <w:num w:numId="5">
    <w:abstractNumId w:val="16"/>
  </w:num>
  <w:num w:numId="6">
    <w:abstractNumId w:val="20"/>
  </w:num>
  <w:num w:numId="7">
    <w:abstractNumId w:val="19"/>
  </w:num>
  <w:num w:numId="8">
    <w:abstractNumId w:val="8"/>
  </w:num>
  <w:num w:numId="9">
    <w:abstractNumId w:val="7"/>
  </w:num>
  <w:num w:numId="10">
    <w:abstractNumId w:val="14"/>
  </w:num>
  <w:num w:numId="11">
    <w:abstractNumId w:val="10"/>
  </w:num>
  <w:num w:numId="12">
    <w:abstractNumId w:val="13"/>
  </w:num>
  <w:num w:numId="13">
    <w:abstractNumId w:val="18"/>
  </w:num>
  <w:num w:numId="14">
    <w:abstractNumId w:val="17"/>
  </w:num>
  <w:num w:numId="15">
    <w:abstractNumId w:val="0"/>
  </w:num>
  <w:num w:numId="16">
    <w:abstractNumId w:val="4"/>
  </w:num>
  <w:num w:numId="17">
    <w:abstractNumId w:val="2"/>
  </w:num>
  <w:num w:numId="18">
    <w:abstractNumId w:val="15"/>
  </w:num>
  <w:num w:numId="19">
    <w:abstractNumId w:val="3"/>
  </w:num>
  <w:num w:numId="20">
    <w:abstractNumId w:val="9"/>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C1"/>
    <w:rsid w:val="00002ACD"/>
    <w:rsid w:val="00023F67"/>
    <w:rsid w:val="0002676F"/>
    <w:rsid w:val="00030BEF"/>
    <w:rsid w:val="000423A8"/>
    <w:rsid w:val="000504C5"/>
    <w:rsid w:val="00050F85"/>
    <w:rsid w:val="000519EA"/>
    <w:rsid w:val="00052EDD"/>
    <w:rsid w:val="000822A2"/>
    <w:rsid w:val="00090E0F"/>
    <w:rsid w:val="000917BC"/>
    <w:rsid w:val="00094F04"/>
    <w:rsid w:val="000B3A99"/>
    <w:rsid w:val="000B3E2E"/>
    <w:rsid w:val="000B6909"/>
    <w:rsid w:val="000C1C11"/>
    <w:rsid w:val="000D33D9"/>
    <w:rsid w:val="000E33F8"/>
    <w:rsid w:val="000E474D"/>
    <w:rsid w:val="000F59A8"/>
    <w:rsid w:val="00103EEA"/>
    <w:rsid w:val="001053E6"/>
    <w:rsid w:val="0011222A"/>
    <w:rsid w:val="001139B7"/>
    <w:rsid w:val="00126186"/>
    <w:rsid w:val="00131B01"/>
    <w:rsid w:val="001373FE"/>
    <w:rsid w:val="00142C92"/>
    <w:rsid w:val="0015272A"/>
    <w:rsid w:val="00154932"/>
    <w:rsid w:val="00167555"/>
    <w:rsid w:val="00182B22"/>
    <w:rsid w:val="00193A6D"/>
    <w:rsid w:val="00194B79"/>
    <w:rsid w:val="00195A2B"/>
    <w:rsid w:val="00195C6F"/>
    <w:rsid w:val="001A1429"/>
    <w:rsid w:val="001B192E"/>
    <w:rsid w:val="001B51F3"/>
    <w:rsid w:val="001C0743"/>
    <w:rsid w:val="001C77E8"/>
    <w:rsid w:val="001D3269"/>
    <w:rsid w:val="001D5275"/>
    <w:rsid w:val="001E47DD"/>
    <w:rsid w:val="001F2EBF"/>
    <w:rsid w:val="00200EF4"/>
    <w:rsid w:val="00222ED9"/>
    <w:rsid w:val="00227CAB"/>
    <w:rsid w:val="002304AC"/>
    <w:rsid w:val="002316E2"/>
    <w:rsid w:val="002426DB"/>
    <w:rsid w:val="00245BC0"/>
    <w:rsid w:val="00250977"/>
    <w:rsid w:val="002633E4"/>
    <w:rsid w:val="0027359B"/>
    <w:rsid w:val="002776A4"/>
    <w:rsid w:val="00282873"/>
    <w:rsid w:val="00284373"/>
    <w:rsid w:val="00284BF2"/>
    <w:rsid w:val="0029077F"/>
    <w:rsid w:val="002964F3"/>
    <w:rsid w:val="00296B2E"/>
    <w:rsid w:val="002C31D7"/>
    <w:rsid w:val="002D6C3D"/>
    <w:rsid w:val="002E2955"/>
    <w:rsid w:val="002E50E4"/>
    <w:rsid w:val="002E7872"/>
    <w:rsid w:val="002F6D4F"/>
    <w:rsid w:val="0030778C"/>
    <w:rsid w:val="003077F7"/>
    <w:rsid w:val="00307FEF"/>
    <w:rsid w:val="00312EE6"/>
    <w:rsid w:val="003239C3"/>
    <w:rsid w:val="00327DFE"/>
    <w:rsid w:val="003309B6"/>
    <w:rsid w:val="00330D5C"/>
    <w:rsid w:val="00347DF9"/>
    <w:rsid w:val="00356784"/>
    <w:rsid w:val="003569C4"/>
    <w:rsid w:val="00360D9C"/>
    <w:rsid w:val="00361FC7"/>
    <w:rsid w:val="003749BB"/>
    <w:rsid w:val="003767D9"/>
    <w:rsid w:val="003827BF"/>
    <w:rsid w:val="0038728F"/>
    <w:rsid w:val="003911E7"/>
    <w:rsid w:val="00395CC3"/>
    <w:rsid w:val="003962B3"/>
    <w:rsid w:val="003A420C"/>
    <w:rsid w:val="003A645C"/>
    <w:rsid w:val="003B0C9B"/>
    <w:rsid w:val="003C1CFE"/>
    <w:rsid w:val="003C2DC1"/>
    <w:rsid w:val="003C54EA"/>
    <w:rsid w:val="003C5CE8"/>
    <w:rsid w:val="003D20A2"/>
    <w:rsid w:val="003D577C"/>
    <w:rsid w:val="003E303E"/>
    <w:rsid w:val="003E3178"/>
    <w:rsid w:val="003F14DD"/>
    <w:rsid w:val="003F7556"/>
    <w:rsid w:val="0041420C"/>
    <w:rsid w:val="00417AAB"/>
    <w:rsid w:val="00422880"/>
    <w:rsid w:val="00435142"/>
    <w:rsid w:val="00444927"/>
    <w:rsid w:val="00445D15"/>
    <w:rsid w:val="00446BA5"/>
    <w:rsid w:val="00447C1A"/>
    <w:rsid w:val="00462AB9"/>
    <w:rsid w:val="00464605"/>
    <w:rsid w:val="0046594F"/>
    <w:rsid w:val="00467057"/>
    <w:rsid w:val="00486B96"/>
    <w:rsid w:val="00491710"/>
    <w:rsid w:val="00493857"/>
    <w:rsid w:val="0049469E"/>
    <w:rsid w:val="004A2783"/>
    <w:rsid w:val="004B17E2"/>
    <w:rsid w:val="004B7071"/>
    <w:rsid w:val="004D47FB"/>
    <w:rsid w:val="00515EA0"/>
    <w:rsid w:val="00523EE1"/>
    <w:rsid w:val="00530E69"/>
    <w:rsid w:val="0053545F"/>
    <w:rsid w:val="00540279"/>
    <w:rsid w:val="005413A0"/>
    <w:rsid w:val="00544252"/>
    <w:rsid w:val="00544C52"/>
    <w:rsid w:val="005524C1"/>
    <w:rsid w:val="00555EB7"/>
    <w:rsid w:val="00565D77"/>
    <w:rsid w:val="00577550"/>
    <w:rsid w:val="005841DA"/>
    <w:rsid w:val="00594581"/>
    <w:rsid w:val="00596912"/>
    <w:rsid w:val="005A045C"/>
    <w:rsid w:val="005A1066"/>
    <w:rsid w:val="005A1497"/>
    <w:rsid w:val="005B2BD3"/>
    <w:rsid w:val="005B3DF6"/>
    <w:rsid w:val="005B66CE"/>
    <w:rsid w:val="005C1B59"/>
    <w:rsid w:val="005D0A51"/>
    <w:rsid w:val="005D3A75"/>
    <w:rsid w:val="005D3E5F"/>
    <w:rsid w:val="005E216C"/>
    <w:rsid w:val="005E33A7"/>
    <w:rsid w:val="005F114A"/>
    <w:rsid w:val="005F7367"/>
    <w:rsid w:val="00602861"/>
    <w:rsid w:val="006070CE"/>
    <w:rsid w:val="00607C1F"/>
    <w:rsid w:val="0061168C"/>
    <w:rsid w:val="0061519D"/>
    <w:rsid w:val="00621726"/>
    <w:rsid w:val="0062382F"/>
    <w:rsid w:val="0063124E"/>
    <w:rsid w:val="006369E7"/>
    <w:rsid w:val="0065123F"/>
    <w:rsid w:val="00652468"/>
    <w:rsid w:val="00661050"/>
    <w:rsid w:val="0066167B"/>
    <w:rsid w:val="00661AF9"/>
    <w:rsid w:val="006669E9"/>
    <w:rsid w:val="006730FA"/>
    <w:rsid w:val="00681790"/>
    <w:rsid w:val="00684C0D"/>
    <w:rsid w:val="00694258"/>
    <w:rsid w:val="006A0F5A"/>
    <w:rsid w:val="006A12E8"/>
    <w:rsid w:val="006A48FB"/>
    <w:rsid w:val="006B241F"/>
    <w:rsid w:val="006B6B33"/>
    <w:rsid w:val="006C29D4"/>
    <w:rsid w:val="006C72F1"/>
    <w:rsid w:val="006C7610"/>
    <w:rsid w:val="006D028B"/>
    <w:rsid w:val="006D2F4D"/>
    <w:rsid w:val="006D4D00"/>
    <w:rsid w:val="006D7EED"/>
    <w:rsid w:val="006E3428"/>
    <w:rsid w:val="006E539A"/>
    <w:rsid w:val="006E5CF7"/>
    <w:rsid w:val="006E6AF6"/>
    <w:rsid w:val="006F40EB"/>
    <w:rsid w:val="00703F1D"/>
    <w:rsid w:val="00710A76"/>
    <w:rsid w:val="0072628C"/>
    <w:rsid w:val="00731A9F"/>
    <w:rsid w:val="00732D48"/>
    <w:rsid w:val="00744E0F"/>
    <w:rsid w:val="0075043D"/>
    <w:rsid w:val="00750E67"/>
    <w:rsid w:val="00753067"/>
    <w:rsid w:val="007536D0"/>
    <w:rsid w:val="007620F7"/>
    <w:rsid w:val="00766734"/>
    <w:rsid w:val="007722DD"/>
    <w:rsid w:val="007726F1"/>
    <w:rsid w:val="00775AEE"/>
    <w:rsid w:val="0077613B"/>
    <w:rsid w:val="00777FA6"/>
    <w:rsid w:val="00786D89"/>
    <w:rsid w:val="00787703"/>
    <w:rsid w:val="007A1C90"/>
    <w:rsid w:val="007A4F2E"/>
    <w:rsid w:val="007B7010"/>
    <w:rsid w:val="007C2D62"/>
    <w:rsid w:val="007D37AA"/>
    <w:rsid w:val="007D724F"/>
    <w:rsid w:val="007E0ABD"/>
    <w:rsid w:val="007E5AEC"/>
    <w:rsid w:val="007F0C8E"/>
    <w:rsid w:val="007F2648"/>
    <w:rsid w:val="007F785F"/>
    <w:rsid w:val="00801781"/>
    <w:rsid w:val="00802AD5"/>
    <w:rsid w:val="0080334C"/>
    <w:rsid w:val="00813D8A"/>
    <w:rsid w:val="008263EB"/>
    <w:rsid w:val="00826768"/>
    <w:rsid w:val="00834840"/>
    <w:rsid w:val="008438A0"/>
    <w:rsid w:val="008529C4"/>
    <w:rsid w:val="00856241"/>
    <w:rsid w:val="008633BD"/>
    <w:rsid w:val="008668A1"/>
    <w:rsid w:val="008771A0"/>
    <w:rsid w:val="0089122B"/>
    <w:rsid w:val="008927D2"/>
    <w:rsid w:val="008930DC"/>
    <w:rsid w:val="008933F4"/>
    <w:rsid w:val="008A54A6"/>
    <w:rsid w:val="008B4030"/>
    <w:rsid w:val="008B6FC7"/>
    <w:rsid w:val="008D07F0"/>
    <w:rsid w:val="008D0CCD"/>
    <w:rsid w:val="008D2A5E"/>
    <w:rsid w:val="008E0FE1"/>
    <w:rsid w:val="008E3420"/>
    <w:rsid w:val="0090322F"/>
    <w:rsid w:val="00905B37"/>
    <w:rsid w:val="00910C4C"/>
    <w:rsid w:val="00914B46"/>
    <w:rsid w:val="00922C55"/>
    <w:rsid w:val="009342BF"/>
    <w:rsid w:val="00937203"/>
    <w:rsid w:val="0094782D"/>
    <w:rsid w:val="00952C3C"/>
    <w:rsid w:val="00953B78"/>
    <w:rsid w:val="0095496E"/>
    <w:rsid w:val="00961EA2"/>
    <w:rsid w:val="00963324"/>
    <w:rsid w:val="009647CF"/>
    <w:rsid w:val="00965EF0"/>
    <w:rsid w:val="00970C34"/>
    <w:rsid w:val="009754E4"/>
    <w:rsid w:val="00981777"/>
    <w:rsid w:val="00986DFF"/>
    <w:rsid w:val="009A027B"/>
    <w:rsid w:val="009A0C2D"/>
    <w:rsid w:val="009B0EB2"/>
    <w:rsid w:val="009C59F9"/>
    <w:rsid w:val="009C5D82"/>
    <w:rsid w:val="009D2FCD"/>
    <w:rsid w:val="009D3AE0"/>
    <w:rsid w:val="009D5748"/>
    <w:rsid w:val="009D69A1"/>
    <w:rsid w:val="009E527E"/>
    <w:rsid w:val="009F2869"/>
    <w:rsid w:val="009F61C2"/>
    <w:rsid w:val="00A01834"/>
    <w:rsid w:val="00A029E9"/>
    <w:rsid w:val="00A052B3"/>
    <w:rsid w:val="00A06635"/>
    <w:rsid w:val="00A1276F"/>
    <w:rsid w:val="00A16116"/>
    <w:rsid w:val="00A23139"/>
    <w:rsid w:val="00A245CC"/>
    <w:rsid w:val="00A25726"/>
    <w:rsid w:val="00A32124"/>
    <w:rsid w:val="00A328F5"/>
    <w:rsid w:val="00A50683"/>
    <w:rsid w:val="00A61088"/>
    <w:rsid w:val="00A713E9"/>
    <w:rsid w:val="00A71ED8"/>
    <w:rsid w:val="00A76740"/>
    <w:rsid w:val="00A8202B"/>
    <w:rsid w:val="00A82D33"/>
    <w:rsid w:val="00A92268"/>
    <w:rsid w:val="00A97034"/>
    <w:rsid w:val="00AA1942"/>
    <w:rsid w:val="00AA2D47"/>
    <w:rsid w:val="00AA609A"/>
    <w:rsid w:val="00AA626E"/>
    <w:rsid w:val="00AB4848"/>
    <w:rsid w:val="00AB55EB"/>
    <w:rsid w:val="00AC7848"/>
    <w:rsid w:val="00AD0CD0"/>
    <w:rsid w:val="00AD71CB"/>
    <w:rsid w:val="00AE0B1B"/>
    <w:rsid w:val="00AE132A"/>
    <w:rsid w:val="00AE2B59"/>
    <w:rsid w:val="00AE72E4"/>
    <w:rsid w:val="00AF7342"/>
    <w:rsid w:val="00B01A05"/>
    <w:rsid w:val="00B17ABB"/>
    <w:rsid w:val="00B232A6"/>
    <w:rsid w:val="00B37E32"/>
    <w:rsid w:val="00B61986"/>
    <w:rsid w:val="00B64F53"/>
    <w:rsid w:val="00B650AD"/>
    <w:rsid w:val="00B65514"/>
    <w:rsid w:val="00B6772A"/>
    <w:rsid w:val="00B70C51"/>
    <w:rsid w:val="00B80BF4"/>
    <w:rsid w:val="00B84317"/>
    <w:rsid w:val="00B96FBC"/>
    <w:rsid w:val="00BA1AB8"/>
    <w:rsid w:val="00BA29A4"/>
    <w:rsid w:val="00BA48E3"/>
    <w:rsid w:val="00BA6718"/>
    <w:rsid w:val="00BB26FD"/>
    <w:rsid w:val="00BB668E"/>
    <w:rsid w:val="00BB7149"/>
    <w:rsid w:val="00BC386B"/>
    <w:rsid w:val="00BC5E4D"/>
    <w:rsid w:val="00BE2C3F"/>
    <w:rsid w:val="00BF32EF"/>
    <w:rsid w:val="00C06048"/>
    <w:rsid w:val="00C067EE"/>
    <w:rsid w:val="00C07C81"/>
    <w:rsid w:val="00C14B03"/>
    <w:rsid w:val="00C24995"/>
    <w:rsid w:val="00C26561"/>
    <w:rsid w:val="00C27A51"/>
    <w:rsid w:val="00C305BF"/>
    <w:rsid w:val="00C30C0D"/>
    <w:rsid w:val="00C41A62"/>
    <w:rsid w:val="00C4493F"/>
    <w:rsid w:val="00C4561A"/>
    <w:rsid w:val="00C4787F"/>
    <w:rsid w:val="00C643EC"/>
    <w:rsid w:val="00C66439"/>
    <w:rsid w:val="00C758D1"/>
    <w:rsid w:val="00C82035"/>
    <w:rsid w:val="00C836DD"/>
    <w:rsid w:val="00C94F53"/>
    <w:rsid w:val="00CA4E32"/>
    <w:rsid w:val="00CA4F8B"/>
    <w:rsid w:val="00CB627B"/>
    <w:rsid w:val="00CC68C4"/>
    <w:rsid w:val="00CD543A"/>
    <w:rsid w:val="00CD55D5"/>
    <w:rsid w:val="00CE699B"/>
    <w:rsid w:val="00CF3EDE"/>
    <w:rsid w:val="00D10CB2"/>
    <w:rsid w:val="00D13C0E"/>
    <w:rsid w:val="00D21771"/>
    <w:rsid w:val="00D274C4"/>
    <w:rsid w:val="00D30028"/>
    <w:rsid w:val="00D30CCE"/>
    <w:rsid w:val="00D33D8D"/>
    <w:rsid w:val="00D426E4"/>
    <w:rsid w:val="00D442AF"/>
    <w:rsid w:val="00D44E79"/>
    <w:rsid w:val="00D46ED6"/>
    <w:rsid w:val="00D64A1D"/>
    <w:rsid w:val="00D70565"/>
    <w:rsid w:val="00D903BC"/>
    <w:rsid w:val="00D94447"/>
    <w:rsid w:val="00D95270"/>
    <w:rsid w:val="00DA0DDB"/>
    <w:rsid w:val="00DA7199"/>
    <w:rsid w:val="00DB3712"/>
    <w:rsid w:val="00DB5F55"/>
    <w:rsid w:val="00DC047A"/>
    <w:rsid w:val="00DC1CAB"/>
    <w:rsid w:val="00DD47FD"/>
    <w:rsid w:val="00DD4F6D"/>
    <w:rsid w:val="00DE1A71"/>
    <w:rsid w:val="00DF32E2"/>
    <w:rsid w:val="00DF5448"/>
    <w:rsid w:val="00DF7FCD"/>
    <w:rsid w:val="00E0208C"/>
    <w:rsid w:val="00E03BEF"/>
    <w:rsid w:val="00E14955"/>
    <w:rsid w:val="00E1764D"/>
    <w:rsid w:val="00E41512"/>
    <w:rsid w:val="00E4554C"/>
    <w:rsid w:val="00E46DCD"/>
    <w:rsid w:val="00E608BA"/>
    <w:rsid w:val="00E71140"/>
    <w:rsid w:val="00E7211C"/>
    <w:rsid w:val="00E756A8"/>
    <w:rsid w:val="00E8178F"/>
    <w:rsid w:val="00E825C7"/>
    <w:rsid w:val="00EA016C"/>
    <w:rsid w:val="00EB075A"/>
    <w:rsid w:val="00EC6BA3"/>
    <w:rsid w:val="00EC6EF1"/>
    <w:rsid w:val="00EC77C5"/>
    <w:rsid w:val="00EF4D66"/>
    <w:rsid w:val="00F02317"/>
    <w:rsid w:val="00F10DFF"/>
    <w:rsid w:val="00F24D82"/>
    <w:rsid w:val="00F273E7"/>
    <w:rsid w:val="00F533A3"/>
    <w:rsid w:val="00F57CAA"/>
    <w:rsid w:val="00F6140C"/>
    <w:rsid w:val="00F615E3"/>
    <w:rsid w:val="00F62CAB"/>
    <w:rsid w:val="00F75F4E"/>
    <w:rsid w:val="00F846D2"/>
    <w:rsid w:val="00F90E05"/>
    <w:rsid w:val="00F91F5B"/>
    <w:rsid w:val="00F9281A"/>
    <w:rsid w:val="00F928EA"/>
    <w:rsid w:val="00F93047"/>
    <w:rsid w:val="00FA4AAC"/>
    <w:rsid w:val="00FA589B"/>
    <w:rsid w:val="00FB5967"/>
    <w:rsid w:val="00FD0B21"/>
    <w:rsid w:val="00FE53F1"/>
    <w:rsid w:val="00FF4624"/>
    <w:rsid w:val="00FF58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D0D4"/>
  <w15:chartTrackingRefBased/>
  <w15:docId w15:val="{1EEB9C9E-28CC-4B80-B0ED-E98FC901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524C1"/>
    <w:pPr>
      <w:keepNext/>
      <w:keepLines/>
      <w:numPr>
        <w:numId w:val="1"/>
      </w:numPr>
      <w:spacing w:before="240" w:after="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5524C1"/>
    <w:pPr>
      <w:keepNext/>
      <w:keepLines/>
      <w:numPr>
        <w:ilvl w:val="1"/>
        <w:numId w:val="1"/>
      </w:numPr>
      <w:spacing w:before="40" w:after="2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5524C1"/>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semiHidden/>
    <w:unhideWhenUsed/>
    <w:qFormat/>
    <w:rsid w:val="005524C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semiHidden/>
    <w:unhideWhenUsed/>
    <w:qFormat/>
    <w:rsid w:val="005524C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semiHidden/>
    <w:unhideWhenUsed/>
    <w:qFormat/>
    <w:rsid w:val="005524C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5524C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5524C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5524C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524C1"/>
    <w:rPr>
      <w:rFonts w:asciiTheme="majorHAnsi" w:eastAsiaTheme="majorEastAsia" w:hAnsiTheme="majorHAnsi" w:cstheme="majorBidi"/>
      <w:color w:val="2E74B5" w:themeColor="accent1" w:themeShade="BF"/>
      <w:sz w:val="32"/>
      <w:szCs w:val="32"/>
    </w:rPr>
  </w:style>
  <w:style w:type="paragraph" w:styleId="Otsikko">
    <w:name w:val="Title"/>
    <w:basedOn w:val="Normaali"/>
    <w:next w:val="Normaali"/>
    <w:link w:val="OtsikkoChar"/>
    <w:uiPriority w:val="10"/>
    <w:qFormat/>
    <w:rsid w:val="005524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524C1"/>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uiPriority w:val="9"/>
    <w:rsid w:val="005524C1"/>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semiHidden/>
    <w:rsid w:val="005524C1"/>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uiPriority w:val="9"/>
    <w:semiHidden/>
    <w:rsid w:val="005524C1"/>
    <w:rPr>
      <w:rFonts w:asciiTheme="majorHAnsi" w:eastAsiaTheme="majorEastAsia" w:hAnsiTheme="majorHAnsi" w:cstheme="majorBidi"/>
      <w:i/>
      <w:iCs/>
      <w:color w:val="2E74B5" w:themeColor="accent1" w:themeShade="BF"/>
    </w:rPr>
  </w:style>
  <w:style w:type="character" w:customStyle="1" w:styleId="Otsikko5Char">
    <w:name w:val="Otsikko 5 Char"/>
    <w:basedOn w:val="Kappaleenoletusfontti"/>
    <w:link w:val="Otsikko5"/>
    <w:uiPriority w:val="9"/>
    <w:semiHidden/>
    <w:rsid w:val="005524C1"/>
    <w:rPr>
      <w:rFonts w:asciiTheme="majorHAnsi" w:eastAsiaTheme="majorEastAsia" w:hAnsiTheme="majorHAnsi" w:cstheme="majorBidi"/>
      <w:color w:val="2E74B5" w:themeColor="accent1" w:themeShade="BF"/>
    </w:rPr>
  </w:style>
  <w:style w:type="character" w:customStyle="1" w:styleId="Otsikko6Char">
    <w:name w:val="Otsikko 6 Char"/>
    <w:basedOn w:val="Kappaleenoletusfontti"/>
    <w:link w:val="Otsikko6"/>
    <w:uiPriority w:val="9"/>
    <w:semiHidden/>
    <w:rsid w:val="005524C1"/>
    <w:rPr>
      <w:rFonts w:asciiTheme="majorHAnsi" w:eastAsiaTheme="majorEastAsia" w:hAnsiTheme="majorHAnsi" w:cstheme="majorBidi"/>
      <w:color w:val="1F4D78" w:themeColor="accent1" w:themeShade="7F"/>
    </w:rPr>
  </w:style>
  <w:style w:type="character" w:customStyle="1" w:styleId="Otsikko7Char">
    <w:name w:val="Otsikko 7 Char"/>
    <w:basedOn w:val="Kappaleenoletusfontti"/>
    <w:link w:val="Otsikko7"/>
    <w:uiPriority w:val="9"/>
    <w:semiHidden/>
    <w:rsid w:val="005524C1"/>
    <w:rPr>
      <w:rFonts w:asciiTheme="majorHAnsi" w:eastAsiaTheme="majorEastAsia" w:hAnsiTheme="majorHAnsi" w:cstheme="majorBidi"/>
      <w:i/>
      <w:iCs/>
      <w:color w:val="1F4D78" w:themeColor="accent1" w:themeShade="7F"/>
    </w:rPr>
  </w:style>
  <w:style w:type="character" w:customStyle="1" w:styleId="Otsikko8Char">
    <w:name w:val="Otsikko 8 Char"/>
    <w:basedOn w:val="Kappaleenoletusfontti"/>
    <w:link w:val="Otsikko8"/>
    <w:uiPriority w:val="9"/>
    <w:semiHidden/>
    <w:rsid w:val="005524C1"/>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5524C1"/>
    <w:rPr>
      <w:rFonts w:asciiTheme="majorHAnsi" w:eastAsiaTheme="majorEastAsia" w:hAnsiTheme="majorHAnsi" w:cstheme="majorBidi"/>
      <w:i/>
      <w:iCs/>
      <w:color w:val="272727" w:themeColor="text1" w:themeTint="D8"/>
      <w:sz w:val="21"/>
      <w:szCs w:val="21"/>
    </w:rPr>
  </w:style>
  <w:style w:type="paragraph" w:styleId="Luettelokappale">
    <w:name w:val="List Paragraph"/>
    <w:basedOn w:val="Normaali"/>
    <w:uiPriority w:val="34"/>
    <w:qFormat/>
    <w:rsid w:val="008633BD"/>
    <w:pPr>
      <w:ind w:left="720"/>
      <w:contextualSpacing/>
    </w:pPr>
  </w:style>
  <w:style w:type="table" w:styleId="TaulukkoRuudukko">
    <w:name w:val="Table Grid"/>
    <w:basedOn w:val="Normaalitaulukko"/>
    <w:uiPriority w:val="39"/>
    <w:rsid w:val="00D9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910C4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10C4C"/>
  </w:style>
  <w:style w:type="paragraph" w:styleId="Alatunniste">
    <w:name w:val="footer"/>
    <w:basedOn w:val="Normaali"/>
    <w:link w:val="AlatunnisteChar"/>
    <w:uiPriority w:val="99"/>
    <w:unhideWhenUsed/>
    <w:rsid w:val="00910C4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10C4C"/>
  </w:style>
  <w:style w:type="paragraph" w:customStyle="1" w:styleId="Ingressi">
    <w:name w:val="Ingressi"/>
    <w:basedOn w:val="Normaali"/>
    <w:link w:val="IngressiChar"/>
    <w:qFormat/>
    <w:rsid w:val="002776A4"/>
    <w:pPr>
      <w:spacing w:before="240"/>
    </w:pPr>
    <w:rPr>
      <w:b/>
      <w:sz w:val="18"/>
    </w:rPr>
  </w:style>
  <w:style w:type="character" w:customStyle="1" w:styleId="IngressiChar">
    <w:name w:val="Ingressi Char"/>
    <w:basedOn w:val="Kappaleenoletusfontti"/>
    <w:link w:val="Ingressi"/>
    <w:rsid w:val="002776A4"/>
    <w:rPr>
      <w:b/>
      <w:sz w:val="18"/>
    </w:rPr>
  </w:style>
  <w:style w:type="paragraph" w:styleId="Sisllysluettelonotsikko">
    <w:name w:val="TOC Heading"/>
    <w:basedOn w:val="Otsikko1"/>
    <w:next w:val="Normaali"/>
    <w:uiPriority w:val="39"/>
    <w:unhideWhenUsed/>
    <w:qFormat/>
    <w:rsid w:val="009A027B"/>
    <w:pPr>
      <w:numPr>
        <w:numId w:val="0"/>
      </w:numPr>
      <w:spacing w:after="0"/>
      <w:outlineLvl w:val="9"/>
    </w:pPr>
    <w:rPr>
      <w:lang w:eastAsia="fi-FI"/>
    </w:rPr>
  </w:style>
  <w:style w:type="paragraph" w:styleId="Sisluet1">
    <w:name w:val="toc 1"/>
    <w:basedOn w:val="Normaali"/>
    <w:next w:val="Normaali"/>
    <w:autoRedefine/>
    <w:uiPriority w:val="39"/>
    <w:unhideWhenUsed/>
    <w:rsid w:val="009A027B"/>
    <w:pPr>
      <w:spacing w:after="100"/>
    </w:pPr>
  </w:style>
  <w:style w:type="paragraph" w:styleId="Sisluet2">
    <w:name w:val="toc 2"/>
    <w:basedOn w:val="Normaali"/>
    <w:next w:val="Normaali"/>
    <w:autoRedefine/>
    <w:uiPriority w:val="39"/>
    <w:unhideWhenUsed/>
    <w:rsid w:val="009A027B"/>
    <w:pPr>
      <w:spacing w:after="100"/>
      <w:ind w:left="220"/>
    </w:pPr>
  </w:style>
  <w:style w:type="character" w:styleId="Hyperlinkki">
    <w:name w:val="Hyperlink"/>
    <w:basedOn w:val="Kappaleenoletusfontti"/>
    <w:uiPriority w:val="99"/>
    <w:unhideWhenUsed/>
    <w:rsid w:val="009A027B"/>
    <w:rPr>
      <w:color w:val="0563C1" w:themeColor="hyperlink"/>
      <w:u w:val="single"/>
    </w:rPr>
  </w:style>
  <w:style w:type="paragraph" w:styleId="Kuvaotsikko">
    <w:name w:val="caption"/>
    <w:basedOn w:val="Normaali"/>
    <w:next w:val="Normaali"/>
    <w:uiPriority w:val="35"/>
    <w:unhideWhenUsed/>
    <w:qFormat/>
    <w:rsid w:val="009A027B"/>
    <w:pPr>
      <w:spacing w:after="200" w:line="240" w:lineRule="auto"/>
    </w:pPr>
    <w:rPr>
      <w:i/>
      <w:iCs/>
      <w:color w:val="44546A" w:themeColor="text2"/>
      <w:sz w:val="18"/>
      <w:szCs w:val="18"/>
    </w:rPr>
  </w:style>
  <w:style w:type="character" w:styleId="Kommentinviite">
    <w:name w:val="annotation reference"/>
    <w:basedOn w:val="Kappaleenoletusfontti"/>
    <w:uiPriority w:val="99"/>
    <w:semiHidden/>
    <w:unhideWhenUsed/>
    <w:rsid w:val="005B3DF6"/>
    <w:rPr>
      <w:sz w:val="16"/>
      <w:szCs w:val="16"/>
    </w:rPr>
  </w:style>
  <w:style w:type="paragraph" w:styleId="Kommentinteksti">
    <w:name w:val="annotation text"/>
    <w:basedOn w:val="Normaali"/>
    <w:link w:val="KommentintekstiChar"/>
    <w:uiPriority w:val="99"/>
    <w:semiHidden/>
    <w:unhideWhenUsed/>
    <w:rsid w:val="005B3DF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B3DF6"/>
    <w:rPr>
      <w:sz w:val="20"/>
      <w:szCs w:val="20"/>
    </w:rPr>
  </w:style>
  <w:style w:type="paragraph" w:styleId="Kommentinotsikko">
    <w:name w:val="annotation subject"/>
    <w:basedOn w:val="Kommentinteksti"/>
    <w:next w:val="Kommentinteksti"/>
    <w:link w:val="KommentinotsikkoChar"/>
    <w:uiPriority w:val="99"/>
    <w:semiHidden/>
    <w:unhideWhenUsed/>
    <w:rsid w:val="005B3DF6"/>
    <w:rPr>
      <w:b/>
      <w:bCs/>
    </w:rPr>
  </w:style>
  <w:style w:type="character" w:customStyle="1" w:styleId="KommentinotsikkoChar">
    <w:name w:val="Kommentin otsikko Char"/>
    <w:basedOn w:val="KommentintekstiChar"/>
    <w:link w:val="Kommentinotsikko"/>
    <w:uiPriority w:val="99"/>
    <w:semiHidden/>
    <w:rsid w:val="005B3DF6"/>
    <w:rPr>
      <w:b/>
      <w:bCs/>
      <w:sz w:val="20"/>
      <w:szCs w:val="20"/>
    </w:rPr>
  </w:style>
  <w:style w:type="paragraph" w:styleId="Seliteteksti">
    <w:name w:val="Balloon Text"/>
    <w:basedOn w:val="Normaali"/>
    <w:link w:val="SelitetekstiChar"/>
    <w:uiPriority w:val="99"/>
    <w:semiHidden/>
    <w:unhideWhenUsed/>
    <w:rsid w:val="005B3DF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B3D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4409-13BA-4292-822F-6FE39B5C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10</Pages>
  <Words>2396</Words>
  <Characters>19409</Characters>
  <Application>Microsoft Office Word</Application>
  <DocSecurity>0</DocSecurity>
  <Lines>161</Lines>
  <Paragraphs>43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Santeri Naumanen</dc:creator>
  <cp:keywords/>
  <dc:description/>
  <cp:lastModifiedBy>Naumanen Santeri</cp:lastModifiedBy>
  <cp:revision>113</cp:revision>
  <dcterms:created xsi:type="dcterms:W3CDTF">2017-01-24T10:47:00Z</dcterms:created>
  <dcterms:modified xsi:type="dcterms:W3CDTF">2017-07-21T12:33:00Z</dcterms:modified>
</cp:coreProperties>
</file>