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E3" w:rsidRDefault="003A68B2" w:rsidP="00F615E3">
      <w:pPr>
        <w:pStyle w:val="Otsikko"/>
        <w:rPr>
          <w:sz w:val="44"/>
        </w:rPr>
      </w:pPr>
      <w:r>
        <w:rPr>
          <w:sz w:val="44"/>
        </w:rPr>
        <w:t>Tarjouspyyntöesimerkki 2.5</w:t>
      </w:r>
      <w:r w:rsidR="003C2DC1" w:rsidRPr="00055BFB">
        <w:rPr>
          <w:sz w:val="44"/>
        </w:rPr>
        <w:t xml:space="preserve"> – </w:t>
      </w:r>
      <w:r>
        <w:rPr>
          <w:sz w:val="44"/>
        </w:rPr>
        <w:t>Innovaatiokumppanuus</w:t>
      </w:r>
      <w:r w:rsidR="003C2DC1" w:rsidRPr="00055BFB">
        <w:rPr>
          <w:sz w:val="44"/>
        </w:rPr>
        <w:t xml:space="preserve"> EU-kynnysarvon ylittävässä hankinnassa</w:t>
      </w:r>
    </w:p>
    <w:p w:rsidR="00055BFB" w:rsidRPr="00055BFB" w:rsidRDefault="00E6312B" w:rsidP="00055BFB">
      <w:pPr>
        <w:pStyle w:val="Otsikko"/>
        <w:rPr>
          <w:sz w:val="28"/>
        </w:rPr>
      </w:pPr>
      <w:r>
        <w:rPr>
          <w:sz w:val="28"/>
        </w:rPr>
        <w:t>Kunnan tilojen energiatehokkuuden parantaminen</w:t>
      </w:r>
    </w:p>
    <w:p w:rsidR="0032053D" w:rsidRDefault="0032053D" w:rsidP="0032053D">
      <w:pPr>
        <w:pStyle w:val="Ingressi"/>
      </w:pPr>
      <w:r w:rsidRPr="00CD7DF4">
        <w:t xml:space="preserve">Tämä tarjouspyyntöesimerkki on kuvassa 1 esitetyn RT-ohjekorttisarjan kortin 2.5 käyttöä tukeva linkitetty dokumentti. </w:t>
      </w:r>
      <w:r w:rsidR="001A3E28" w:rsidRPr="00CD7DF4">
        <w:t>Tässä liitteillä täydennettävän tarjouspyyntökirjeen mallissa</w:t>
      </w:r>
      <w:r w:rsidRPr="00CD7DF4">
        <w:t xml:space="preserve"> on esimerkkinä kunnan tilojen energiatehokkuuden parantaminen. Tarjouspyyntömalli yhdessä tarvittavien liiteasiakirjojen kanssa täyttää hankintalaissa tarjouspyynnölle määritellyt sisältövaatimukset. Osa tarjouspyynnössä esitettävistä tiedoista tulee esittää myös hankintailmoituksessa tai mahdollisissa lain mukaisissa asiakirjoissa ja tarjouspyynnön liitteissä. Eri tietojen esittämistä koskevat vaatimukset on kuvattu RT-ohjekorttisarjan tason 2 menettelykohtaisissa korteissa hankintamenettelyittäin.</w:t>
      </w:r>
    </w:p>
    <w:p w:rsidR="009E5ABF" w:rsidRDefault="009E5ABF" w:rsidP="009E5ABF">
      <w:pPr>
        <w:pStyle w:val="Ingressi"/>
        <w:shd w:val="clear" w:color="auto" w:fill="E7E6E6" w:themeFill="background2"/>
        <w:spacing w:after="0" w:line="276" w:lineRule="auto"/>
      </w:pPr>
      <w:r>
        <w:t>Tässä tarjouspyyntöesimerkissä käytetään seuraavia tekstityylejä:</w:t>
      </w:r>
    </w:p>
    <w:p w:rsidR="009E5ABF" w:rsidRDefault="009E5ABF" w:rsidP="009E5ABF">
      <w:pPr>
        <w:pStyle w:val="Ingressi"/>
        <w:shd w:val="clear" w:color="auto" w:fill="E7E6E6" w:themeFill="background2"/>
        <w:spacing w:before="0" w:after="0" w:line="276" w:lineRule="auto"/>
        <w:rPr>
          <w:b w:val="0"/>
        </w:rPr>
      </w:pPr>
      <w:r>
        <w:rPr>
          <w:b w:val="0"/>
        </w:rPr>
        <w:t>Esimerkkiteksti</w:t>
      </w:r>
    </w:p>
    <w:p w:rsidR="009E5ABF" w:rsidRPr="009E5ABF" w:rsidRDefault="009E5ABF" w:rsidP="009E5ABF">
      <w:pPr>
        <w:pStyle w:val="Ingressi"/>
        <w:shd w:val="clear" w:color="auto" w:fill="E7E6E6" w:themeFill="background2"/>
        <w:spacing w:before="0" w:line="276" w:lineRule="auto"/>
        <w:rPr>
          <w:b w:val="0"/>
          <w:color w:val="538135" w:themeColor="accent6" w:themeShade="BF"/>
        </w:rPr>
      </w:pPr>
      <w:r w:rsidRPr="00052EDD">
        <w:rPr>
          <w:b w:val="0"/>
          <w:color w:val="538135" w:themeColor="accent6" w:themeShade="BF"/>
        </w:rPr>
        <w:t>Kommentit ja ohjeet</w:t>
      </w:r>
    </w:p>
    <w:p w:rsidR="0032053D" w:rsidRDefault="0032053D" w:rsidP="0032053D">
      <w:pPr>
        <w:keepNext/>
        <w:jc w:val="center"/>
      </w:pPr>
      <w:r>
        <w:rPr>
          <w:noProof/>
          <w:lang w:eastAsia="fi-FI"/>
        </w:rPr>
        <w:drawing>
          <wp:inline distT="0" distB="0" distL="0" distR="0" wp14:anchorId="54C94FF9" wp14:editId="4A0DDFEB">
            <wp:extent cx="4238625" cy="3600502"/>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38625" cy="3600502"/>
                    </a:xfrm>
                    <a:prstGeom prst="rect">
                      <a:avLst/>
                    </a:prstGeom>
                  </pic:spPr>
                </pic:pic>
              </a:graphicData>
            </a:graphic>
          </wp:inline>
        </w:drawing>
      </w:r>
    </w:p>
    <w:p w:rsidR="0032053D" w:rsidRDefault="0032053D" w:rsidP="0032053D">
      <w:pPr>
        <w:pStyle w:val="Kuvaotsikko"/>
      </w:pPr>
      <w:r w:rsidRPr="00CD7DF4">
        <w:t xml:space="preserve">Kuva </w:t>
      </w:r>
      <w:r w:rsidRPr="00CD7DF4">
        <w:fldChar w:fldCharType="begin"/>
      </w:r>
      <w:r w:rsidRPr="00CD7DF4">
        <w:instrText xml:space="preserve"> SEQ Kuva \* ARABIC </w:instrText>
      </w:r>
      <w:r w:rsidRPr="00CD7DF4">
        <w:fldChar w:fldCharType="separate"/>
      </w:r>
      <w:r w:rsidRPr="00CD7DF4">
        <w:rPr>
          <w:noProof/>
        </w:rPr>
        <w:t>1</w:t>
      </w:r>
      <w:r w:rsidRPr="00CD7DF4">
        <w:rPr>
          <w:noProof/>
        </w:rPr>
        <w:fldChar w:fldCharType="end"/>
      </w:r>
      <w:r w:rsidRPr="00CD7DF4">
        <w:t xml:space="preserve"> Ohjekorttisarjan rakenne</w:t>
      </w:r>
    </w:p>
    <w:p w:rsidR="0032053D" w:rsidRPr="009A0C2D" w:rsidRDefault="0032053D" w:rsidP="0032053D">
      <w:pPr>
        <w:rPr>
          <w:b/>
          <w:sz w:val="18"/>
        </w:rPr>
      </w:pPr>
      <w:r w:rsidRPr="009A0C2D">
        <w:rPr>
          <w:b/>
          <w:sz w:val="18"/>
        </w:rPr>
        <w:t>Sisällysluettelo</w:t>
      </w:r>
    </w:p>
    <w:p w:rsidR="0032053D" w:rsidRPr="0032053D" w:rsidRDefault="0032053D">
      <w:pPr>
        <w:pStyle w:val="Sisluet1"/>
        <w:tabs>
          <w:tab w:val="left" w:pos="440"/>
          <w:tab w:val="right" w:leader="dot" w:pos="9628"/>
        </w:tabs>
        <w:rPr>
          <w:rFonts w:eastAsiaTheme="minorEastAsia"/>
          <w:noProof/>
          <w:sz w:val="18"/>
          <w:lang w:eastAsia="fi-FI"/>
        </w:rPr>
      </w:pPr>
      <w:r w:rsidRPr="009A0C2D">
        <w:rPr>
          <w:sz w:val="18"/>
        </w:rPr>
        <w:fldChar w:fldCharType="begin"/>
      </w:r>
      <w:r w:rsidRPr="009A0C2D">
        <w:rPr>
          <w:sz w:val="18"/>
        </w:rPr>
        <w:instrText xml:space="preserve"> TOC \o "1-1" \h \z \u </w:instrText>
      </w:r>
      <w:r w:rsidRPr="009A0C2D">
        <w:rPr>
          <w:sz w:val="18"/>
        </w:rPr>
        <w:fldChar w:fldCharType="separate"/>
      </w:r>
      <w:hyperlink w:anchor="_Toc469577104" w:history="1">
        <w:r w:rsidRPr="0032053D">
          <w:rPr>
            <w:rStyle w:val="Hyperlinkki"/>
            <w:noProof/>
            <w:sz w:val="18"/>
          </w:rPr>
          <w:t>1</w:t>
        </w:r>
        <w:r w:rsidRPr="0032053D">
          <w:rPr>
            <w:rFonts w:eastAsiaTheme="minorEastAsia"/>
            <w:noProof/>
            <w:sz w:val="18"/>
            <w:lang w:eastAsia="fi-FI"/>
          </w:rPr>
          <w:tab/>
        </w:r>
        <w:r w:rsidRPr="0032053D">
          <w:rPr>
            <w:rStyle w:val="Hyperlinkki"/>
            <w:noProof/>
            <w:sz w:val="18"/>
          </w:rPr>
          <w:t>Hankintayksikkö ja yhteyshenkilö</w:t>
        </w:r>
        <w:r w:rsidRPr="0032053D">
          <w:rPr>
            <w:noProof/>
            <w:webHidden/>
            <w:sz w:val="18"/>
          </w:rPr>
          <w:tab/>
        </w:r>
        <w:r w:rsidRPr="0032053D">
          <w:rPr>
            <w:noProof/>
            <w:webHidden/>
            <w:sz w:val="18"/>
          </w:rPr>
          <w:fldChar w:fldCharType="begin"/>
        </w:r>
        <w:r w:rsidRPr="0032053D">
          <w:rPr>
            <w:noProof/>
            <w:webHidden/>
            <w:sz w:val="18"/>
          </w:rPr>
          <w:instrText xml:space="preserve"> PAGEREF _Toc469577104 \h </w:instrText>
        </w:r>
        <w:r w:rsidRPr="0032053D">
          <w:rPr>
            <w:noProof/>
            <w:webHidden/>
            <w:sz w:val="18"/>
          </w:rPr>
        </w:r>
        <w:r w:rsidRPr="0032053D">
          <w:rPr>
            <w:noProof/>
            <w:webHidden/>
            <w:sz w:val="18"/>
          </w:rPr>
          <w:fldChar w:fldCharType="separate"/>
        </w:r>
        <w:r w:rsidR="00AF0EAC">
          <w:rPr>
            <w:noProof/>
            <w:webHidden/>
            <w:sz w:val="18"/>
          </w:rPr>
          <w:t>2</w:t>
        </w:r>
        <w:r w:rsidRPr="0032053D">
          <w:rPr>
            <w:noProof/>
            <w:webHidden/>
            <w:sz w:val="18"/>
          </w:rPr>
          <w:fldChar w:fldCharType="end"/>
        </w:r>
      </w:hyperlink>
    </w:p>
    <w:p w:rsidR="0032053D" w:rsidRPr="0032053D" w:rsidRDefault="0042015F">
      <w:pPr>
        <w:pStyle w:val="Sisluet1"/>
        <w:tabs>
          <w:tab w:val="left" w:pos="440"/>
          <w:tab w:val="right" w:leader="dot" w:pos="9628"/>
        </w:tabs>
        <w:rPr>
          <w:rFonts w:eastAsiaTheme="minorEastAsia"/>
          <w:noProof/>
          <w:sz w:val="18"/>
          <w:lang w:eastAsia="fi-FI"/>
        </w:rPr>
      </w:pPr>
      <w:hyperlink w:anchor="_Toc469577105" w:history="1">
        <w:r w:rsidR="0032053D" w:rsidRPr="0032053D">
          <w:rPr>
            <w:rStyle w:val="Hyperlinkki"/>
            <w:noProof/>
            <w:sz w:val="18"/>
          </w:rPr>
          <w:t>2</w:t>
        </w:r>
        <w:r w:rsidR="0032053D" w:rsidRPr="0032053D">
          <w:rPr>
            <w:rFonts w:eastAsiaTheme="minorEastAsia"/>
            <w:noProof/>
            <w:sz w:val="18"/>
            <w:lang w:eastAsia="fi-FI"/>
          </w:rPr>
          <w:tab/>
        </w:r>
        <w:r w:rsidR="0032053D" w:rsidRPr="0032053D">
          <w:rPr>
            <w:rStyle w:val="Hyperlinkki"/>
            <w:noProof/>
            <w:sz w:val="18"/>
          </w:rPr>
          <w:t>Hankinnan kohde ja hanke</w:t>
        </w:r>
        <w:r w:rsidR="0032053D" w:rsidRPr="0032053D">
          <w:rPr>
            <w:noProof/>
            <w:webHidden/>
            <w:sz w:val="18"/>
          </w:rPr>
          <w:tab/>
        </w:r>
        <w:r w:rsidR="0032053D" w:rsidRPr="0032053D">
          <w:rPr>
            <w:noProof/>
            <w:webHidden/>
            <w:sz w:val="18"/>
          </w:rPr>
          <w:fldChar w:fldCharType="begin"/>
        </w:r>
        <w:r w:rsidR="0032053D" w:rsidRPr="0032053D">
          <w:rPr>
            <w:noProof/>
            <w:webHidden/>
            <w:sz w:val="18"/>
          </w:rPr>
          <w:instrText xml:space="preserve"> PAGEREF _Toc469577105 \h </w:instrText>
        </w:r>
        <w:r w:rsidR="0032053D" w:rsidRPr="0032053D">
          <w:rPr>
            <w:noProof/>
            <w:webHidden/>
            <w:sz w:val="18"/>
          </w:rPr>
        </w:r>
        <w:r w:rsidR="0032053D" w:rsidRPr="0032053D">
          <w:rPr>
            <w:noProof/>
            <w:webHidden/>
            <w:sz w:val="18"/>
          </w:rPr>
          <w:fldChar w:fldCharType="separate"/>
        </w:r>
        <w:r w:rsidR="00AF0EAC">
          <w:rPr>
            <w:noProof/>
            <w:webHidden/>
            <w:sz w:val="18"/>
          </w:rPr>
          <w:t>2</w:t>
        </w:r>
        <w:r w:rsidR="0032053D" w:rsidRPr="0032053D">
          <w:rPr>
            <w:noProof/>
            <w:webHidden/>
            <w:sz w:val="18"/>
          </w:rPr>
          <w:fldChar w:fldCharType="end"/>
        </w:r>
      </w:hyperlink>
    </w:p>
    <w:p w:rsidR="0032053D" w:rsidRPr="0032053D" w:rsidRDefault="0042015F">
      <w:pPr>
        <w:pStyle w:val="Sisluet1"/>
        <w:tabs>
          <w:tab w:val="left" w:pos="440"/>
          <w:tab w:val="right" w:leader="dot" w:pos="9628"/>
        </w:tabs>
        <w:rPr>
          <w:rFonts w:eastAsiaTheme="minorEastAsia"/>
          <w:noProof/>
          <w:sz w:val="18"/>
          <w:lang w:eastAsia="fi-FI"/>
        </w:rPr>
      </w:pPr>
      <w:hyperlink w:anchor="_Toc469577106" w:history="1">
        <w:r w:rsidR="0032053D" w:rsidRPr="0032053D">
          <w:rPr>
            <w:rStyle w:val="Hyperlinkki"/>
            <w:noProof/>
            <w:sz w:val="18"/>
            <w:lang w:eastAsia="fi-FI"/>
          </w:rPr>
          <w:t>3</w:t>
        </w:r>
        <w:r w:rsidR="0032053D" w:rsidRPr="0032053D">
          <w:rPr>
            <w:rFonts w:eastAsiaTheme="minorEastAsia"/>
            <w:noProof/>
            <w:sz w:val="18"/>
            <w:lang w:eastAsia="fi-FI"/>
          </w:rPr>
          <w:tab/>
        </w:r>
        <w:r w:rsidR="0032053D" w:rsidRPr="0032053D">
          <w:rPr>
            <w:rStyle w:val="Hyperlinkki"/>
            <w:noProof/>
            <w:sz w:val="18"/>
            <w:lang w:eastAsia="fi-FI"/>
          </w:rPr>
          <w:t>Hankintamenettely</w:t>
        </w:r>
        <w:r w:rsidR="0032053D" w:rsidRPr="0032053D">
          <w:rPr>
            <w:noProof/>
            <w:webHidden/>
            <w:sz w:val="18"/>
          </w:rPr>
          <w:tab/>
        </w:r>
        <w:r w:rsidR="0032053D" w:rsidRPr="0032053D">
          <w:rPr>
            <w:noProof/>
            <w:webHidden/>
            <w:sz w:val="18"/>
          </w:rPr>
          <w:fldChar w:fldCharType="begin"/>
        </w:r>
        <w:r w:rsidR="0032053D" w:rsidRPr="0032053D">
          <w:rPr>
            <w:noProof/>
            <w:webHidden/>
            <w:sz w:val="18"/>
          </w:rPr>
          <w:instrText xml:space="preserve"> PAGEREF _Toc469577106 \h </w:instrText>
        </w:r>
        <w:r w:rsidR="0032053D" w:rsidRPr="0032053D">
          <w:rPr>
            <w:noProof/>
            <w:webHidden/>
            <w:sz w:val="18"/>
          </w:rPr>
        </w:r>
        <w:r w:rsidR="0032053D" w:rsidRPr="0032053D">
          <w:rPr>
            <w:noProof/>
            <w:webHidden/>
            <w:sz w:val="18"/>
          </w:rPr>
          <w:fldChar w:fldCharType="separate"/>
        </w:r>
        <w:r w:rsidR="00AF0EAC">
          <w:rPr>
            <w:noProof/>
            <w:webHidden/>
            <w:sz w:val="18"/>
          </w:rPr>
          <w:t>3</w:t>
        </w:r>
        <w:r w:rsidR="0032053D" w:rsidRPr="0032053D">
          <w:rPr>
            <w:noProof/>
            <w:webHidden/>
            <w:sz w:val="18"/>
          </w:rPr>
          <w:fldChar w:fldCharType="end"/>
        </w:r>
      </w:hyperlink>
    </w:p>
    <w:p w:rsidR="0032053D" w:rsidRPr="0032053D" w:rsidRDefault="0042015F">
      <w:pPr>
        <w:pStyle w:val="Sisluet1"/>
        <w:tabs>
          <w:tab w:val="left" w:pos="440"/>
          <w:tab w:val="right" w:leader="dot" w:pos="9628"/>
        </w:tabs>
        <w:rPr>
          <w:rFonts w:eastAsiaTheme="minorEastAsia"/>
          <w:noProof/>
          <w:sz w:val="18"/>
          <w:lang w:eastAsia="fi-FI"/>
        </w:rPr>
      </w:pPr>
      <w:hyperlink w:anchor="_Toc469577107" w:history="1">
        <w:r w:rsidR="0032053D" w:rsidRPr="0032053D">
          <w:rPr>
            <w:rStyle w:val="Hyperlinkki"/>
            <w:noProof/>
            <w:sz w:val="18"/>
            <w:lang w:eastAsia="fi-FI"/>
          </w:rPr>
          <w:t>4</w:t>
        </w:r>
        <w:r w:rsidR="0032053D" w:rsidRPr="0032053D">
          <w:rPr>
            <w:rFonts w:eastAsiaTheme="minorEastAsia"/>
            <w:noProof/>
            <w:sz w:val="18"/>
            <w:lang w:eastAsia="fi-FI"/>
          </w:rPr>
          <w:tab/>
        </w:r>
        <w:r w:rsidR="0032053D" w:rsidRPr="0032053D">
          <w:rPr>
            <w:rStyle w:val="Hyperlinkki"/>
            <w:noProof/>
            <w:sz w:val="18"/>
            <w:lang w:eastAsia="fi-FI"/>
          </w:rPr>
          <w:t>Osallistumisvaatimukset</w:t>
        </w:r>
        <w:r w:rsidR="0032053D" w:rsidRPr="0032053D">
          <w:rPr>
            <w:noProof/>
            <w:webHidden/>
            <w:sz w:val="18"/>
          </w:rPr>
          <w:tab/>
        </w:r>
        <w:r w:rsidR="0032053D" w:rsidRPr="0032053D">
          <w:rPr>
            <w:noProof/>
            <w:webHidden/>
            <w:sz w:val="18"/>
          </w:rPr>
          <w:fldChar w:fldCharType="begin"/>
        </w:r>
        <w:r w:rsidR="0032053D" w:rsidRPr="0032053D">
          <w:rPr>
            <w:noProof/>
            <w:webHidden/>
            <w:sz w:val="18"/>
          </w:rPr>
          <w:instrText xml:space="preserve"> PAGEREF _Toc469577107 \h </w:instrText>
        </w:r>
        <w:r w:rsidR="0032053D" w:rsidRPr="0032053D">
          <w:rPr>
            <w:noProof/>
            <w:webHidden/>
            <w:sz w:val="18"/>
          </w:rPr>
        </w:r>
        <w:r w:rsidR="0032053D" w:rsidRPr="0032053D">
          <w:rPr>
            <w:noProof/>
            <w:webHidden/>
            <w:sz w:val="18"/>
          </w:rPr>
          <w:fldChar w:fldCharType="separate"/>
        </w:r>
        <w:r w:rsidR="00AF0EAC">
          <w:rPr>
            <w:noProof/>
            <w:webHidden/>
            <w:sz w:val="18"/>
          </w:rPr>
          <w:t>4</w:t>
        </w:r>
        <w:r w:rsidR="0032053D" w:rsidRPr="0032053D">
          <w:rPr>
            <w:noProof/>
            <w:webHidden/>
            <w:sz w:val="18"/>
          </w:rPr>
          <w:fldChar w:fldCharType="end"/>
        </w:r>
      </w:hyperlink>
    </w:p>
    <w:p w:rsidR="0032053D" w:rsidRPr="0032053D" w:rsidRDefault="0042015F">
      <w:pPr>
        <w:pStyle w:val="Sisluet1"/>
        <w:tabs>
          <w:tab w:val="left" w:pos="440"/>
          <w:tab w:val="right" w:leader="dot" w:pos="9628"/>
        </w:tabs>
        <w:rPr>
          <w:rFonts w:eastAsiaTheme="minorEastAsia"/>
          <w:noProof/>
          <w:sz w:val="18"/>
          <w:lang w:eastAsia="fi-FI"/>
        </w:rPr>
      </w:pPr>
      <w:hyperlink w:anchor="_Toc469577108" w:history="1">
        <w:r w:rsidR="0032053D" w:rsidRPr="0032053D">
          <w:rPr>
            <w:rStyle w:val="Hyperlinkki"/>
            <w:noProof/>
            <w:sz w:val="18"/>
          </w:rPr>
          <w:t>5</w:t>
        </w:r>
        <w:r w:rsidR="0032053D" w:rsidRPr="0032053D">
          <w:rPr>
            <w:rFonts w:eastAsiaTheme="minorEastAsia"/>
            <w:noProof/>
            <w:sz w:val="18"/>
            <w:lang w:eastAsia="fi-FI"/>
          </w:rPr>
          <w:tab/>
        </w:r>
        <w:r w:rsidR="0032053D" w:rsidRPr="0032053D">
          <w:rPr>
            <w:rStyle w:val="Hyperlinkki"/>
            <w:noProof/>
            <w:sz w:val="18"/>
          </w:rPr>
          <w:t>Tarjouksen sisältö ja jättäminen</w:t>
        </w:r>
        <w:r w:rsidR="0032053D" w:rsidRPr="0032053D">
          <w:rPr>
            <w:noProof/>
            <w:webHidden/>
            <w:sz w:val="18"/>
          </w:rPr>
          <w:tab/>
        </w:r>
        <w:r w:rsidR="0032053D" w:rsidRPr="0032053D">
          <w:rPr>
            <w:noProof/>
            <w:webHidden/>
            <w:sz w:val="18"/>
          </w:rPr>
          <w:fldChar w:fldCharType="begin"/>
        </w:r>
        <w:r w:rsidR="0032053D" w:rsidRPr="0032053D">
          <w:rPr>
            <w:noProof/>
            <w:webHidden/>
            <w:sz w:val="18"/>
          </w:rPr>
          <w:instrText xml:space="preserve"> PAGEREF _Toc469577108 \h </w:instrText>
        </w:r>
        <w:r w:rsidR="0032053D" w:rsidRPr="0032053D">
          <w:rPr>
            <w:noProof/>
            <w:webHidden/>
            <w:sz w:val="18"/>
          </w:rPr>
        </w:r>
        <w:r w:rsidR="0032053D" w:rsidRPr="0032053D">
          <w:rPr>
            <w:noProof/>
            <w:webHidden/>
            <w:sz w:val="18"/>
          </w:rPr>
          <w:fldChar w:fldCharType="separate"/>
        </w:r>
        <w:r w:rsidR="00AF0EAC">
          <w:rPr>
            <w:noProof/>
            <w:webHidden/>
            <w:sz w:val="18"/>
          </w:rPr>
          <w:t>6</w:t>
        </w:r>
        <w:r w:rsidR="0032053D" w:rsidRPr="0032053D">
          <w:rPr>
            <w:noProof/>
            <w:webHidden/>
            <w:sz w:val="18"/>
          </w:rPr>
          <w:fldChar w:fldCharType="end"/>
        </w:r>
      </w:hyperlink>
    </w:p>
    <w:p w:rsidR="0032053D" w:rsidRPr="0032053D" w:rsidRDefault="0042015F">
      <w:pPr>
        <w:pStyle w:val="Sisluet1"/>
        <w:tabs>
          <w:tab w:val="left" w:pos="440"/>
          <w:tab w:val="right" w:leader="dot" w:pos="9628"/>
        </w:tabs>
        <w:rPr>
          <w:rFonts w:eastAsiaTheme="minorEastAsia"/>
          <w:noProof/>
          <w:sz w:val="18"/>
          <w:lang w:eastAsia="fi-FI"/>
        </w:rPr>
      </w:pPr>
      <w:hyperlink w:anchor="_Toc469577109" w:history="1">
        <w:r w:rsidR="0032053D" w:rsidRPr="0032053D">
          <w:rPr>
            <w:rStyle w:val="Hyperlinkki"/>
            <w:noProof/>
            <w:sz w:val="18"/>
          </w:rPr>
          <w:t>6</w:t>
        </w:r>
        <w:r w:rsidR="0032053D" w:rsidRPr="0032053D">
          <w:rPr>
            <w:rFonts w:eastAsiaTheme="minorEastAsia"/>
            <w:noProof/>
            <w:sz w:val="18"/>
            <w:lang w:eastAsia="fi-FI"/>
          </w:rPr>
          <w:tab/>
        </w:r>
        <w:r w:rsidR="0032053D" w:rsidRPr="0032053D">
          <w:rPr>
            <w:rStyle w:val="Hyperlinkki"/>
            <w:noProof/>
            <w:sz w:val="18"/>
          </w:rPr>
          <w:t>Tarjousten käsittely</w:t>
        </w:r>
        <w:r w:rsidR="0032053D" w:rsidRPr="0032053D">
          <w:rPr>
            <w:noProof/>
            <w:webHidden/>
            <w:sz w:val="18"/>
          </w:rPr>
          <w:tab/>
        </w:r>
        <w:r w:rsidR="0032053D" w:rsidRPr="0032053D">
          <w:rPr>
            <w:noProof/>
            <w:webHidden/>
            <w:sz w:val="18"/>
          </w:rPr>
          <w:fldChar w:fldCharType="begin"/>
        </w:r>
        <w:r w:rsidR="0032053D" w:rsidRPr="0032053D">
          <w:rPr>
            <w:noProof/>
            <w:webHidden/>
            <w:sz w:val="18"/>
          </w:rPr>
          <w:instrText xml:space="preserve"> PAGEREF _Toc469577109 \h </w:instrText>
        </w:r>
        <w:r w:rsidR="0032053D" w:rsidRPr="0032053D">
          <w:rPr>
            <w:noProof/>
            <w:webHidden/>
            <w:sz w:val="18"/>
          </w:rPr>
        </w:r>
        <w:r w:rsidR="0032053D" w:rsidRPr="0032053D">
          <w:rPr>
            <w:noProof/>
            <w:webHidden/>
            <w:sz w:val="18"/>
          </w:rPr>
          <w:fldChar w:fldCharType="separate"/>
        </w:r>
        <w:r w:rsidR="00AF0EAC">
          <w:rPr>
            <w:noProof/>
            <w:webHidden/>
            <w:sz w:val="18"/>
          </w:rPr>
          <w:t>8</w:t>
        </w:r>
        <w:r w:rsidR="0032053D" w:rsidRPr="0032053D">
          <w:rPr>
            <w:noProof/>
            <w:webHidden/>
            <w:sz w:val="18"/>
          </w:rPr>
          <w:fldChar w:fldCharType="end"/>
        </w:r>
      </w:hyperlink>
    </w:p>
    <w:p w:rsidR="0032053D" w:rsidRPr="0032053D" w:rsidRDefault="0042015F">
      <w:pPr>
        <w:pStyle w:val="Sisluet1"/>
        <w:tabs>
          <w:tab w:val="left" w:pos="440"/>
          <w:tab w:val="right" w:leader="dot" w:pos="9628"/>
        </w:tabs>
        <w:rPr>
          <w:rFonts w:eastAsiaTheme="minorEastAsia"/>
          <w:noProof/>
          <w:sz w:val="18"/>
          <w:lang w:eastAsia="fi-FI"/>
        </w:rPr>
      </w:pPr>
      <w:hyperlink w:anchor="_Toc469577110" w:history="1">
        <w:r w:rsidR="0032053D" w:rsidRPr="0032053D">
          <w:rPr>
            <w:rStyle w:val="Hyperlinkki"/>
            <w:noProof/>
            <w:sz w:val="18"/>
          </w:rPr>
          <w:t>7</w:t>
        </w:r>
        <w:r w:rsidR="0032053D" w:rsidRPr="0032053D">
          <w:rPr>
            <w:rFonts w:eastAsiaTheme="minorEastAsia"/>
            <w:noProof/>
            <w:sz w:val="18"/>
            <w:lang w:eastAsia="fi-FI"/>
          </w:rPr>
          <w:tab/>
        </w:r>
        <w:r w:rsidR="0032053D" w:rsidRPr="0032053D">
          <w:rPr>
            <w:rStyle w:val="Hyperlinkki"/>
            <w:noProof/>
            <w:sz w:val="18"/>
          </w:rPr>
          <w:t>Sopimusehdot</w:t>
        </w:r>
        <w:r w:rsidR="0032053D" w:rsidRPr="0032053D">
          <w:rPr>
            <w:noProof/>
            <w:webHidden/>
            <w:sz w:val="18"/>
          </w:rPr>
          <w:tab/>
        </w:r>
        <w:r w:rsidR="0032053D" w:rsidRPr="0032053D">
          <w:rPr>
            <w:noProof/>
            <w:webHidden/>
            <w:sz w:val="18"/>
          </w:rPr>
          <w:fldChar w:fldCharType="begin"/>
        </w:r>
        <w:r w:rsidR="0032053D" w:rsidRPr="0032053D">
          <w:rPr>
            <w:noProof/>
            <w:webHidden/>
            <w:sz w:val="18"/>
          </w:rPr>
          <w:instrText xml:space="preserve"> PAGEREF _Toc469577110 \h </w:instrText>
        </w:r>
        <w:r w:rsidR="0032053D" w:rsidRPr="0032053D">
          <w:rPr>
            <w:noProof/>
            <w:webHidden/>
            <w:sz w:val="18"/>
          </w:rPr>
        </w:r>
        <w:r w:rsidR="0032053D" w:rsidRPr="0032053D">
          <w:rPr>
            <w:noProof/>
            <w:webHidden/>
            <w:sz w:val="18"/>
          </w:rPr>
          <w:fldChar w:fldCharType="separate"/>
        </w:r>
        <w:r w:rsidR="00AF0EAC">
          <w:rPr>
            <w:noProof/>
            <w:webHidden/>
            <w:sz w:val="18"/>
          </w:rPr>
          <w:t>9</w:t>
        </w:r>
        <w:r w:rsidR="0032053D" w:rsidRPr="0032053D">
          <w:rPr>
            <w:noProof/>
            <w:webHidden/>
            <w:sz w:val="18"/>
          </w:rPr>
          <w:fldChar w:fldCharType="end"/>
        </w:r>
      </w:hyperlink>
    </w:p>
    <w:p w:rsidR="0032053D" w:rsidRPr="0032053D" w:rsidRDefault="0042015F">
      <w:pPr>
        <w:pStyle w:val="Sisluet1"/>
        <w:tabs>
          <w:tab w:val="left" w:pos="440"/>
          <w:tab w:val="right" w:leader="dot" w:pos="9628"/>
        </w:tabs>
        <w:rPr>
          <w:rFonts w:eastAsiaTheme="minorEastAsia"/>
          <w:noProof/>
          <w:sz w:val="18"/>
          <w:lang w:eastAsia="fi-FI"/>
        </w:rPr>
      </w:pPr>
      <w:hyperlink w:anchor="_Toc469577111" w:history="1">
        <w:r w:rsidR="0032053D" w:rsidRPr="0032053D">
          <w:rPr>
            <w:rStyle w:val="Hyperlinkki"/>
            <w:noProof/>
            <w:sz w:val="18"/>
          </w:rPr>
          <w:t>8</w:t>
        </w:r>
        <w:r w:rsidR="0032053D" w:rsidRPr="0032053D">
          <w:rPr>
            <w:rFonts w:eastAsiaTheme="minorEastAsia"/>
            <w:noProof/>
            <w:sz w:val="18"/>
            <w:lang w:eastAsia="fi-FI"/>
          </w:rPr>
          <w:tab/>
        </w:r>
        <w:r w:rsidR="0032053D" w:rsidRPr="0032053D">
          <w:rPr>
            <w:rStyle w:val="Hyperlinkki"/>
            <w:noProof/>
            <w:sz w:val="18"/>
          </w:rPr>
          <w:t>Lisätiedot</w:t>
        </w:r>
        <w:r w:rsidR="0032053D" w:rsidRPr="0032053D">
          <w:rPr>
            <w:noProof/>
            <w:webHidden/>
            <w:sz w:val="18"/>
          </w:rPr>
          <w:tab/>
        </w:r>
        <w:r w:rsidR="0032053D" w:rsidRPr="0032053D">
          <w:rPr>
            <w:noProof/>
            <w:webHidden/>
            <w:sz w:val="18"/>
          </w:rPr>
          <w:fldChar w:fldCharType="begin"/>
        </w:r>
        <w:r w:rsidR="0032053D" w:rsidRPr="0032053D">
          <w:rPr>
            <w:noProof/>
            <w:webHidden/>
            <w:sz w:val="18"/>
          </w:rPr>
          <w:instrText xml:space="preserve"> PAGEREF _Toc469577111 \h </w:instrText>
        </w:r>
        <w:r w:rsidR="0032053D" w:rsidRPr="0032053D">
          <w:rPr>
            <w:noProof/>
            <w:webHidden/>
            <w:sz w:val="18"/>
          </w:rPr>
        </w:r>
        <w:r w:rsidR="0032053D" w:rsidRPr="0032053D">
          <w:rPr>
            <w:noProof/>
            <w:webHidden/>
            <w:sz w:val="18"/>
          </w:rPr>
          <w:fldChar w:fldCharType="separate"/>
        </w:r>
        <w:r w:rsidR="00AF0EAC">
          <w:rPr>
            <w:noProof/>
            <w:webHidden/>
            <w:sz w:val="18"/>
          </w:rPr>
          <w:t>10</w:t>
        </w:r>
        <w:r w:rsidR="0032053D" w:rsidRPr="0032053D">
          <w:rPr>
            <w:noProof/>
            <w:webHidden/>
            <w:sz w:val="18"/>
          </w:rPr>
          <w:fldChar w:fldCharType="end"/>
        </w:r>
      </w:hyperlink>
    </w:p>
    <w:p w:rsidR="0032053D" w:rsidRPr="0032053D" w:rsidRDefault="0042015F">
      <w:pPr>
        <w:pStyle w:val="Sisluet1"/>
        <w:tabs>
          <w:tab w:val="left" w:pos="440"/>
          <w:tab w:val="right" w:leader="dot" w:pos="9628"/>
        </w:tabs>
        <w:rPr>
          <w:rFonts w:eastAsiaTheme="minorEastAsia"/>
          <w:noProof/>
          <w:sz w:val="18"/>
          <w:lang w:eastAsia="fi-FI"/>
        </w:rPr>
      </w:pPr>
      <w:hyperlink w:anchor="_Toc469577112" w:history="1">
        <w:r w:rsidR="0032053D" w:rsidRPr="0032053D">
          <w:rPr>
            <w:rStyle w:val="Hyperlinkki"/>
            <w:noProof/>
            <w:sz w:val="18"/>
          </w:rPr>
          <w:t>9</w:t>
        </w:r>
        <w:r w:rsidR="0032053D" w:rsidRPr="0032053D">
          <w:rPr>
            <w:rFonts w:eastAsiaTheme="minorEastAsia"/>
            <w:noProof/>
            <w:sz w:val="18"/>
            <w:lang w:eastAsia="fi-FI"/>
          </w:rPr>
          <w:tab/>
        </w:r>
        <w:r w:rsidR="0032053D" w:rsidRPr="0032053D">
          <w:rPr>
            <w:rStyle w:val="Hyperlinkki"/>
            <w:noProof/>
            <w:sz w:val="18"/>
          </w:rPr>
          <w:t>Liitteet</w:t>
        </w:r>
        <w:r w:rsidR="0032053D" w:rsidRPr="0032053D">
          <w:rPr>
            <w:noProof/>
            <w:webHidden/>
            <w:sz w:val="18"/>
          </w:rPr>
          <w:tab/>
        </w:r>
        <w:r w:rsidR="0032053D" w:rsidRPr="0032053D">
          <w:rPr>
            <w:noProof/>
            <w:webHidden/>
            <w:sz w:val="18"/>
          </w:rPr>
          <w:fldChar w:fldCharType="begin"/>
        </w:r>
        <w:r w:rsidR="0032053D" w:rsidRPr="0032053D">
          <w:rPr>
            <w:noProof/>
            <w:webHidden/>
            <w:sz w:val="18"/>
          </w:rPr>
          <w:instrText xml:space="preserve"> PAGEREF _Toc469577112 \h </w:instrText>
        </w:r>
        <w:r w:rsidR="0032053D" w:rsidRPr="0032053D">
          <w:rPr>
            <w:noProof/>
            <w:webHidden/>
            <w:sz w:val="18"/>
          </w:rPr>
        </w:r>
        <w:r w:rsidR="0032053D" w:rsidRPr="0032053D">
          <w:rPr>
            <w:noProof/>
            <w:webHidden/>
            <w:sz w:val="18"/>
          </w:rPr>
          <w:fldChar w:fldCharType="separate"/>
        </w:r>
        <w:r w:rsidR="00AF0EAC">
          <w:rPr>
            <w:noProof/>
            <w:webHidden/>
            <w:sz w:val="18"/>
          </w:rPr>
          <w:t>10</w:t>
        </w:r>
        <w:r w:rsidR="0032053D" w:rsidRPr="0032053D">
          <w:rPr>
            <w:noProof/>
            <w:webHidden/>
            <w:sz w:val="18"/>
          </w:rPr>
          <w:fldChar w:fldCharType="end"/>
        </w:r>
      </w:hyperlink>
    </w:p>
    <w:p w:rsidR="006A5CF2" w:rsidRDefault="0032053D" w:rsidP="00BC386B">
      <w:pPr>
        <w:sectPr w:rsidR="006A5CF2" w:rsidSect="006669E9">
          <w:headerReference w:type="default" r:id="rId8"/>
          <w:pgSz w:w="11906" w:h="16838"/>
          <w:pgMar w:top="1417" w:right="1134" w:bottom="1417" w:left="1134" w:header="708" w:footer="708" w:gutter="0"/>
          <w:cols w:space="708"/>
          <w:docGrid w:linePitch="360"/>
        </w:sectPr>
      </w:pPr>
      <w:r w:rsidRPr="009A0C2D">
        <w:rPr>
          <w:sz w:val="18"/>
        </w:rPr>
        <w:fldChar w:fldCharType="end"/>
      </w:r>
    </w:p>
    <w:p w:rsidR="00922C55" w:rsidRDefault="005524C1" w:rsidP="00BC386B">
      <w:r w:rsidRPr="005524C1">
        <w:lastRenderedPageBreak/>
        <w:t xml:space="preserve">Pyydämme tarjoustanne </w:t>
      </w:r>
      <w:r w:rsidR="00F86926">
        <w:t xml:space="preserve">Kuntalan tilapalvelukeskuksen omistamien kiinteistöjen energiatehokkuuden </w:t>
      </w:r>
      <w:r w:rsidR="00772B1E">
        <w:t>parantamiseen tähtäävän kehityshankkeen suunnittelusta</w:t>
      </w:r>
      <w:r w:rsidR="005B3280">
        <w:t xml:space="preserve"> ja </w:t>
      </w:r>
      <w:r w:rsidR="00772B1E">
        <w:t>hankkeen toteutuksesta</w:t>
      </w:r>
      <w:r w:rsidR="009C4927">
        <w:t xml:space="preserve"> </w:t>
      </w:r>
      <w:r w:rsidRPr="005524C1">
        <w:t>tämän tarjouspyynnön ja</w:t>
      </w:r>
      <w:r w:rsidR="008A54A6">
        <w:t xml:space="preserve"> sen</w:t>
      </w:r>
      <w:r w:rsidRPr="005524C1">
        <w:t xml:space="preserve"> liitteenä olevien asiakirjojen mukaisesti. </w:t>
      </w:r>
    </w:p>
    <w:p w:rsidR="00BC386B" w:rsidRDefault="008A54A6" w:rsidP="00BC386B">
      <w:r>
        <w:t>Hankinnan ennakoitu arvo ylittää hankintalain 26 §:ssä tarkoitetun EU-kynnysarvon ja hankintamenet</w:t>
      </w:r>
      <w:r w:rsidR="005768A5">
        <w:t>telynä käytetään hankintalain 38</w:t>
      </w:r>
      <w:r>
        <w:t xml:space="preserve"> §:ssä tarkoitettua </w:t>
      </w:r>
      <w:r w:rsidR="005768A5">
        <w:t>innovaatiokumppanuutta</w:t>
      </w:r>
      <w:r w:rsidR="005524C1" w:rsidRPr="005524C1">
        <w:t>. Hankintai</w:t>
      </w:r>
      <w:r w:rsidR="002426DB">
        <w:t>lmoitus on julkaistu HILMA:ssa pp.</w:t>
      </w:r>
      <w:proofErr w:type="gramStart"/>
      <w:r w:rsidR="002426DB">
        <w:t>kk</w:t>
      </w:r>
      <w:r w:rsidR="005524C1" w:rsidRPr="005524C1">
        <w:t>.</w:t>
      </w:r>
      <w:r w:rsidR="002426DB">
        <w:t>vvvv</w:t>
      </w:r>
      <w:proofErr w:type="gramEnd"/>
      <w:r w:rsidR="002426DB">
        <w:t>.</w:t>
      </w:r>
    </w:p>
    <w:p w:rsidR="005524C1" w:rsidRDefault="005524C1" w:rsidP="005524C1">
      <w:pPr>
        <w:pStyle w:val="Otsikko1"/>
      </w:pPr>
      <w:bookmarkStart w:id="0" w:name="_Toc469577104"/>
      <w:r w:rsidRPr="005524C1">
        <w:t>Hankintayksikkö</w:t>
      </w:r>
      <w:r>
        <w:t xml:space="preserve"> ja yhteyshenkilö</w:t>
      </w:r>
      <w:bookmarkEnd w:id="0"/>
    </w:p>
    <w:p w:rsidR="005524C1" w:rsidRDefault="005524C1" w:rsidP="005524C1">
      <w:pPr>
        <w:spacing w:after="0"/>
      </w:pPr>
      <w:r>
        <w:t>Kuntalan tilapalvelukeskus</w:t>
      </w:r>
    </w:p>
    <w:p w:rsidR="005524C1" w:rsidRDefault="005524C1" w:rsidP="005524C1">
      <w:pPr>
        <w:spacing w:after="0"/>
      </w:pPr>
      <w:r>
        <w:t>Kauppakatu 1A, 00000 Kuntala</w:t>
      </w:r>
    </w:p>
    <w:p w:rsidR="005524C1" w:rsidRDefault="005524C1" w:rsidP="005524C1">
      <w:pPr>
        <w:spacing w:after="0"/>
      </w:pPr>
      <w:r>
        <w:t>Yhteyshenkilö: rakennuspäällikkö Raimo Rakennuttaja</w:t>
      </w:r>
    </w:p>
    <w:p w:rsidR="005524C1" w:rsidRDefault="005524C1" w:rsidP="005524C1">
      <w:pPr>
        <w:spacing w:after="0"/>
      </w:pPr>
      <w:r>
        <w:t>Puhelin 555 123 456, sähköposti: raimo.rakennuttaja@kuntala.fi</w:t>
      </w:r>
    </w:p>
    <w:p w:rsidR="005524C1" w:rsidRDefault="005524C1" w:rsidP="005524C1">
      <w:pPr>
        <w:spacing w:after="0"/>
      </w:pPr>
      <w:r>
        <w:t>Kuntala on kunta Länsi-Suomessa. Kunnan rakennuttamisesta vastaa tilapalvelukeskus.</w:t>
      </w:r>
    </w:p>
    <w:p w:rsidR="00EA016C" w:rsidRPr="008A54A6" w:rsidRDefault="00FE53F1" w:rsidP="00EA016C">
      <w:pPr>
        <w:pStyle w:val="Otsikko1"/>
      </w:pPr>
      <w:bookmarkStart w:id="1" w:name="_Toc469577105"/>
      <w:r>
        <w:t>Hankinnan kohde</w:t>
      </w:r>
      <w:r w:rsidR="00F533A3">
        <w:t xml:space="preserve"> ja hanke</w:t>
      </w:r>
      <w:bookmarkEnd w:id="1"/>
    </w:p>
    <w:p w:rsidR="003569C4" w:rsidRDefault="003569C4" w:rsidP="003569C4">
      <w:pPr>
        <w:pStyle w:val="Otsikko2"/>
      </w:pPr>
      <w:r>
        <w:t>Hanke</w:t>
      </w:r>
    </w:p>
    <w:p w:rsidR="000537C5" w:rsidRDefault="00F90E05" w:rsidP="00F90E05">
      <w:r>
        <w:t xml:space="preserve">Tämän tarjouspyynnön kohteena oleva </w:t>
      </w:r>
      <w:r w:rsidR="006F0FFC">
        <w:t>toimeksianto</w:t>
      </w:r>
      <w:r>
        <w:t xml:space="preserve"> liittyy </w:t>
      </w:r>
      <w:r w:rsidR="00907FAB">
        <w:t>Kuntalan tilakeskuksen kiinteistöjen energiatehokkuuden parantamisen kehityshankkeeseen.</w:t>
      </w:r>
      <w:r w:rsidR="00612D78">
        <w:t xml:space="preserve"> Kehityshankkeessa on määrä parantaa </w:t>
      </w:r>
      <w:r w:rsidR="006E6D3B">
        <w:t>kolmen</w:t>
      </w:r>
      <w:r w:rsidR="00612D78">
        <w:t xml:space="preserve"> tilakeskuksen omistaman kiinteistön energiatehokkuutta.</w:t>
      </w:r>
      <w:r w:rsidR="000537C5">
        <w:t xml:space="preserve"> Kaikki </w:t>
      </w:r>
      <w:r w:rsidR="00CF0F3D">
        <w:t>kiinteistöt</w:t>
      </w:r>
      <w:r w:rsidR="000537C5">
        <w:t xml:space="preserve"> ovat peruskorjausisässä lähivuosina.</w:t>
      </w:r>
      <w:r w:rsidR="00612D78">
        <w:t xml:space="preserve"> Kiinteistö</w:t>
      </w:r>
      <w:r w:rsidR="004F093D">
        <w:t>t sisältävät</w:t>
      </w:r>
      <w:r w:rsidR="00BC20B1">
        <w:t xml:space="preserve"> pääosin</w:t>
      </w:r>
      <w:r w:rsidR="004F093D">
        <w:t xml:space="preserve"> toimistotiloja joissa työskentelee yhteensä</w:t>
      </w:r>
      <w:r w:rsidR="006E6D3B">
        <w:t xml:space="preserve"> 180</w:t>
      </w:r>
      <w:r w:rsidR="00361155">
        <w:t xml:space="preserve"> kunnan työntekijää. Kehityshankkeen aikana</w:t>
      </w:r>
      <w:r w:rsidR="00F13A50">
        <w:t>, kehityksen kohteena olevissa</w:t>
      </w:r>
      <w:r w:rsidR="00361155">
        <w:t xml:space="preserve"> </w:t>
      </w:r>
      <w:r w:rsidR="00EE67AB">
        <w:t xml:space="preserve">tiloissa työskenteleville </w:t>
      </w:r>
      <w:r w:rsidR="00361155">
        <w:t>kunnan työntekijöille</w:t>
      </w:r>
      <w:r w:rsidR="00F13A50">
        <w:t>,</w:t>
      </w:r>
      <w:r w:rsidR="00361155">
        <w:t xml:space="preserve"> </w:t>
      </w:r>
      <w:r w:rsidR="00EE67AB">
        <w:t>tulee</w:t>
      </w:r>
      <w:r w:rsidR="00361155">
        <w:t xml:space="preserve"> järjestää </w:t>
      </w:r>
      <w:r w:rsidR="00EE67AB">
        <w:t>väistötilat</w:t>
      </w:r>
      <w:r w:rsidR="00361155">
        <w:t>.</w:t>
      </w:r>
    </w:p>
    <w:p w:rsidR="0072511F" w:rsidRDefault="000537C5" w:rsidP="00F90E05">
      <w:r>
        <w:t>Kehityshankkeen koh</w:t>
      </w:r>
      <w:r w:rsidR="00206038">
        <w:t xml:space="preserve">teena olevien kiinteistöjen esittelyt, kehityshankkeen ajalliset reunaehdot, </w:t>
      </w:r>
      <w:r w:rsidR="0072511F">
        <w:t>kustannusten reunaehdot ja energiansäästötavoitteet on esitetty tämän tarjouspyynnön seuraavissa liitteissä:</w:t>
      </w:r>
    </w:p>
    <w:p w:rsidR="00BE16BB" w:rsidRDefault="0072511F" w:rsidP="0072511F">
      <w:pPr>
        <w:pStyle w:val="Luettelokappale"/>
        <w:numPr>
          <w:ilvl w:val="0"/>
          <w:numId w:val="26"/>
        </w:numPr>
      </w:pPr>
      <w:r>
        <w:t>Liite 1 ”Kehityshanke</w:t>
      </w:r>
      <w:r w:rsidR="005955FF">
        <w:t>suunnitelma</w:t>
      </w:r>
      <w:r>
        <w:t>”</w:t>
      </w:r>
    </w:p>
    <w:p w:rsidR="008A54A6" w:rsidRDefault="0072511F" w:rsidP="00B9171C">
      <w:pPr>
        <w:pStyle w:val="Luettelokappale"/>
        <w:numPr>
          <w:ilvl w:val="0"/>
          <w:numId w:val="26"/>
        </w:numPr>
      </w:pPr>
      <w:r>
        <w:t>Liite 2 ”Kuntalan matalaenergiasuunnitelma rakentamisessa”</w:t>
      </w:r>
    </w:p>
    <w:p w:rsidR="008A54A6" w:rsidRPr="00E70826" w:rsidRDefault="008A54A6" w:rsidP="008A54A6">
      <w:pPr>
        <w:pStyle w:val="Otsikko2"/>
        <w:rPr>
          <w:lang w:eastAsia="fi-FI"/>
        </w:rPr>
      </w:pPr>
      <w:r w:rsidRPr="00E70826">
        <w:rPr>
          <w:lang w:eastAsia="fi-FI"/>
        </w:rPr>
        <w:t>Hankinnan kohde</w:t>
      </w:r>
    </w:p>
    <w:p w:rsidR="00B9171C" w:rsidRDefault="008A54A6" w:rsidP="00834CC8">
      <w:pPr>
        <w:rPr>
          <w:lang w:eastAsia="fi-FI"/>
        </w:rPr>
      </w:pPr>
      <w:r>
        <w:rPr>
          <w:lang w:eastAsia="fi-FI"/>
        </w:rPr>
        <w:t xml:space="preserve">Hankinnan kohteena on tämän tarjouspyynnön kohdassa 2.1 esitetyn </w:t>
      </w:r>
      <w:r w:rsidR="00B9171C">
        <w:rPr>
          <w:lang w:eastAsia="fi-FI"/>
        </w:rPr>
        <w:t>kehityshankkeen</w:t>
      </w:r>
      <w:r w:rsidR="00337BC5">
        <w:rPr>
          <w:lang w:eastAsia="fi-FI"/>
        </w:rPr>
        <w:t xml:space="preserve"> </w:t>
      </w:r>
      <w:r w:rsidR="00B9171C">
        <w:rPr>
          <w:lang w:eastAsia="fi-FI"/>
        </w:rPr>
        <w:t>suunnittelu ja suunnitelmien toimeenpano. Hankinnan kohteelle on asetettu seuraavat ehdottomat vähimmäisvaatimukset:</w:t>
      </w:r>
    </w:p>
    <w:p w:rsidR="00B9171C" w:rsidRDefault="00B9171C" w:rsidP="00B9171C">
      <w:pPr>
        <w:pStyle w:val="Luettelokappale"/>
        <w:numPr>
          <w:ilvl w:val="0"/>
          <w:numId w:val="27"/>
        </w:numPr>
        <w:rPr>
          <w:lang w:eastAsia="fi-FI"/>
        </w:rPr>
      </w:pPr>
      <w:r>
        <w:rPr>
          <w:lang w:eastAsia="fi-FI"/>
        </w:rPr>
        <w:t>Liitteessä 1 tarkoitettu kiinteistön nro 804 tulee säilyä kunnan omistuksessa ja käytössä</w:t>
      </w:r>
    </w:p>
    <w:p w:rsidR="00B9171C" w:rsidRDefault="006217E2" w:rsidP="00B9171C">
      <w:pPr>
        <w:pStyle w:val="Luettelokappale"/>
        <w:numPr>
          <w:ilvl w:val="1"/>
          <w:numId w:val="27"/>
        </w:numPr>
        <w:rPr>
          <w:lang w:eastAsia="fi-FI"/>
        </w:rPr>
      </w:pPr>
      <w:r>
        <w:rPr>
          <w:lang w:eastAsia="fi-FI"/>
        </w:rPr>
        <w:t>Muiden kehityshankkeen kohteena olevien</w:t>
      </w:r>
      <w:r w:rsidR="00B9171C">
        <w:rPr>
          <w:lang w:eastAsia="fi-FI"/>
        </w:rPr>
        <w:t xml:space="preserve"> kiinteistöjen ei ole välttämätöntä pysyä kunnan omistuksessa tai käytössä kehityshankkeen jälkeen</w:t>
      </w:r>
      <w:r>
        <w:rPr>
          <w:lang w:eastAsia="fi-FI"/>
        </w:rPr>
        <w:t xml:space="preserve">, ne voidaan korvata esim. muilla kiinteistöillä </w:t>
      </w:r>
      <w:r w:rsidR="00340802">
        <w:rPr>
          <w:lang w:eastAsia="fi-FI"/>
        </w:rPr>
        <w:t>kustannusten reunaehtojen puitteissa</w:t>
      </w:r>
    </w:p>
    <w:p w:rsidR="00B9171C" w:rsidRDefault="00B9171C" w:rsidP="00B9171C">
      <w:pPr>
        <w:pStyle w:val="Luettelokappale"/>
        <w:numPr>
          <w:ilvl w:val="0"/>
          <w:numId w:val="27"/>
        </w:numPr>
        <w:rPr>
          <w:lang w:eastAsia="fi-FI"/>
        </w:rPr>
      </w:pPr>
      <w:r>
        <w:rPr>
          <w:lang w:eastAsia="fi-FI"/>
        </w:rPr>
        <w:t>Liitteessä 2 tarkoitettujen kiinteistöjen energiatavoitteiden vähimmäisvaatimusten tulee täyttyä</w:t>
      </w:r>
    </w:p>
    <w:p w:rsidR="00B9171C" w:rsidRDefault="00B9171C" w:rsidP="00B9171C">
      <w:pPr>
        <w:pStyle w:val="Luettelokappale"/>
        <w:numPr>
          <w:ilvl w:val="0"/>
          <w:numId w:val="27"/>
        </w:numPr>
        <w:rPr>
          <w:lang w:eastAsia="fi-FI"/>
        </w:rPr>
      </w:pPr>
      <w:r>
        <w:rPr>
          <w:lang w:eastAsia="fi-FI"/>
        </w:rPr>
        <w:lastRenderedPageBreak/>
        <w:t>Kiinteistöissä työskentelevien kunnan työntekijöillä tulee olla työtilat yksiköittäin kehityshankkeen aikana ja sen jälkeen</w:t>
      </w:r>
    </w:p>
    <w:p w:rsidR="00B9171C" w:rsidRDefault="00B9171C" w:rsidP="00B9171C">
      <w:pPr>
        <w:pStyle w:val="Luettelokappale"/>
        <w:numPr>
          <w:ilvl w:val="1"/>
          <w:numId w:val="27"/>
        </w:numPr>
        <w:rPr>
          <w:lang w:eastAsia="fi-FI"/>
        </w:rPr>
      </w:pPr>
      <w:r>
        <w:rPr>
          <w:lang w:eastAsia="fi-FI"/>
        </w:rPr>
        <w:t>Yksikköjen koot ja</w:t>
      </w:r>
      <w:r w:rsidR="00F13A50">
        <w:rPr>
          <w:lang w:eastAsia="fi-FI"/>
        </w:rPr>
        <w:t xml:space="preserve"> mahdolliset</w:t>
      </w:r>
      <w:r>
        <w:rPr>
          <w:lang w:eastAsia="fi-FI"/>
        </w:rPr>
        <w:t xml:space="preserve"> erityistarpeet on kuvattu liitteessä 1</w:t>
      </w:r>
    </w:p>
    <w:p w:rsidR="006217E2" w:rsidRDefault="006217E2" w:rsidP="006217E2">
      <w:pPr>
        <w:pStyle w:val="Luettelokappale"/>
        <w:numPr>
          <w:ilvl w:val="0"/>
          <w:numId w:val="27"/>
        </w:numPr>
        <w:rPr>
          <w:lang w:eastAsia="fi-FI"/>
        </w:rPr>
      </w:pPr>
      <w:r>
        <w:rPr>
          <w:lang w:eastAsia="fi-FI"/>
        </w:rPr>
        <w:t>Kehityshankkeen kustannusten tulee olla enintään liitteessä 1 esitettyjä kustannusten reunaehtojen mukaiset</w:t>
      </w:r>
    </w:p>
    <w:p w:rsidR="007D3C7D" w:rsidRDefault="007D3C7D" w:rsidP="00626CB0">
      <w:pPr>
        <w:spacing w:before="240"/>
        <w:rPr>
          <w:lang w:eastAsia="fi-FI"/>
        </w:rPr>
      </w:pPr>
      <w:r>
        <w:rPr>
          <w:lang w:eastAsia="fi-FI"/>
        </w:rPr>
        <w:t>Toimeksianto sisältää innovaatiokumppanuuden kehitysvaiheessa tapahtuvan kehityshankkeen suunnittelun ja kehitysvaiheen tuloksiin pohjautu</w:t>
      </w:r>
      <w:r w:rsidR="00387AF7">
        <w:rPr>
          <w:lang w:eastAsia="fi-FI"/>
        </w:rPr>
        <w:t>van hankinnan, jossa toimittaja</w:t>
      </w:r>
      <w:r>
        <w:rPr>
          <w:lang w:eastAsia="fi-FI"/>
        </w:rPr>
        <w:t xml:space="preserve"> </w:t>
      </w:r>
      <w:r w:rsidR="00387AF7">
        <w:rPr>
          <w:lang w:eastAsia="fi-FI"/>
        </w:rPr>
        <w:t>toimeenpanee kehityshankkeen suunnitelman. Suunnitelman toimeenpanossa toimittaja vastaa organisoinnista, rakennustoimenpiteisiin vaadittavien suunnitelmien laatimisesta ja rakennuttamisesta. Suunnitelmien laatimiseen ja rakennuttamiseen voidaan käyttää alihankkijoita. Mahdolliset urakoitsijat kilpailutetaan hankintayksikön puitejärjestelyillä tai hankintalain mukaisin menettelyin.</w:t>
      </w:r>
    </w:p>
    <w:p w:rsidR="00602861" w:rsidRDefault="009B649C" w:rsidP="00626CB0">
      <w:pPr>
        <w:spacing w:before="240"/>
        <w:rPr>
          <w:lang w:eastAsia="fi-FI"/>
        </w:rPr>
      </w:pPr>
      <w:r>
        <w:rPr>
          <w:lang w:eastAsia="fi-FI"/>
        </w:rPr>
        <w:t>Kehityshankkeen</w:t>
      </w:r>
      <w:r w:rsidR="00602861">
        <w:rPr>
          <w:lang w:eastAsia="fi-FI"/>
        </w:rPr>
        <w:t xml:space="preserve"> työkieli on suomi ja kaikki </w:t>
      </w:r>
      <w:r w:rsidR="00D841A6">
        <w:rPr>
          <w:lang w:eastAsia="fi-FI"/>
        </w:rPr>
        <w:t>hankkeeseen liittyvä dokumentaatio toteutetaan suomenkielise</w:t>
      </w:r>
      <w:r w:rsidR="00602861">
        <w:rPr>
          <w:lang w:eastAsia="fi-FI"/>
        </w:rPr>
        <w:t>nä</w:t>
      </w:r>
      <w:r w:rsidR="00D841A6">
        <w:rPr>
          <w:lang w:eastAsia="fi-FI"/>
        </w:rPr>
        <w:t>,</w:t>
      </w:r>
      <w:r w:rsidR="0062236C">
        <w:rPr>
          <w:lang w:eastAsia="fi-FI"/>
        </w:rPr>
        <w:t xml:space="preserve"> ellei toisin mainittu tai lainsäädännössä </w:t>
      </w:r>
      <w:r w:rsidR="00D841A6">
        <w:rPr>
          <w:lang w:eastAsia="fi-FI"/>
        </w:rPr>
        <w:t>vaadittu.</w:t>
      </w:r>
      <w:r w:rsidR="00602861">
        <w:rPr>
          <w:lang w:eastAsia="fi-FI"/>
        </w:rPr>
        <w:t xml:space="preserve"> </w:t>
      </w:r>
    </w:p>
    <w:p w:rsidR="00C4561A" w:rsidRDefault="00C4561A" w:rsidP="00C4561A">
      <w:pPr>
        <w:pStyle w:val="Otsikko1"/>
        <w:rPr>
          <w:lang w:eastAsia="fi-FI"/>
        </w:rPr>
      </w:pPr>
      <w:bookmarkStart w:id="2" w:name="_Toc469577106"/>
      <w:r>
        <w:rPr>
          <w:lang w:eastAsia="fi-FI"/>
        </w:rPr>
        <w:t>Hankintamenettely</w:t>
      </w:r>
      <w:bookmarkEnd w:id="2"/>
    </w:p>
    <w:p w:rsidR="00086F34" w:rsidRDefault="00C4561A" w:rsidP="00C4561A">
      <w:r>
        <w:t>Hankintamenet</w:t>
      </w:r>
      <w:r w:rsidR="00E94964">
        <w:t>telynä käytetään hankintalain 3</w:t>
      </w:r>
      <w:r w:rsidR="00086F34">
        <w:t>8</w:t>
      </w:r>
      <w:r w:rsidRPr="00C80CF9">
        <w:t xml:space="preserve"> §:ssä </w:t>
      </w:r>
      <w:r w:rsidRPr="00C4561A">
        <w:t xml:space="preserve">tarkoitettua </w:t>
      </w:r>
      <w:r w:rsidR="00086F34">
        <w:t>innovaatiokumppanuutta.</w:t>
      </w:r>
      <w:r w:rsidR="00C855C5">
        <w:t xml:space="preserve"> </w:t>
      </w:r>
      <w:r w:rsidR="00086F34">
        <w:t>Innovaatiokumppanuus koostuu hankintamenettelyllisestä vaiheesta ja kumppanuusvaiheesta. Hankintayksikö valitsee hankintamenettelylliseen vaiheeseen kolme (3) ehdokasta ja kumppanuusvaiheeseen kaksi (2) ehdokasta. Kumppanuusvaiheen kehitysvaiheen aikana hankintayksikkö valitsee kehitysvaiheen tulosten perusteella toisen toimittajista toimeenpanemaan kehittämänsä suunnitelman.</w:t>
      </w:r>
    </w:p>
    <w:p w:rsidR="00086F34" w:rsidRPr="00086F34" w:rsidRDefault="00086F34" w:rsidP="00086F34">
      <w:pPr>
        <w:pStyle w:val="Otsikko2"/>
      </w:pPr>
      <w:r>
        <w:t>Hankintamenettelyllinen vaihe</w:t>
      </w:r>
    </w:p>
    <w:p w:rsidR="00C4561A" w:rsidRDefault="00C4561A" w:rsidP="00C4561A">
      <w:r>
        <w:t>Hanki</w:t>
      </w:r>
      <w:r w:rsidR="00BB3D12">
        <w:t xml:space="preserve">ntayksikkö valitsee neuvotteluihin kutsuttavat </w:t>
      </w:r>
      <w:r>
        <w:t xml:space="preserve">ehdokkaat osallistumishakemukset jättäneistä ehdokkaista. </w:t>
      </w:r>
      <w:r w:rsidR="00BB3D12">
        <w:t>Neuvotteluihin kutsutaan kolme (3) ehdokasta, jollei soveltuvia ehdokkaita ole vähemmän.</w:t>
      </w:r>
    </w:p>
    <w:p w:rsidR="00C4561A" w:rsidRDefault="00C4561A" w:rsidP="00C4561A">
      <w:r>
        <w:t xml:space="preserve">Jos kohdissa </w:t>
      </w:r>
      <w:r w:rsidR="00540279">
        <w:t>4.1–4.3</w:t>
      </w:r>
      <w:r>
        <w:t xml:space="preserve"> esitettyjen soveltuvuuden vähimmäisvaatimukset täyttäviä ehdokkaita on enemmän kuin </w:t>
      </w:r>
      <w:r w:rsidR="00274090">
        <w:t>kolme (</w:t>
      </w:r>
      <w:r>
        <w:t>3</w:t>
      </w:r>
      <w:r w:rsidR="00274090">
        <w:t>)</w:t>
      </w:r>
      <w:r>
        <w:t>, sovelletaan kohdassa 4.4 esitettyjä perusteita ehdokkaiden joukon rajaamiseen.</w:t>
      </w:r>
    </w:p>
    <w:p w:rsidR="006D2915" w:rsidRDefault="00627C28" w:rsidP="00C4561A">
      <w:r>
        <w:t xml:space="preserve">Hankintayksikkö pyytää valituilta ehdokkailta alustavat tarjoukset ja </w:t>
      </w:r>
      <w:r w:rsidR="006D2915">
        <w:t>ehdokkaat neuvotteluihin, joiden tarkoituksena on:</w:t>
      </w:r>
    </w:p>
    <w:p w:rsidR="00D174EF" w:rsidRDefault="003B2C1E" w:rsidP="00D174EF">
      <w:pPr>
        <w:pStyle w:val="Luettelokappale"/>
        <w:numPr>
          <w:ilvl w:val="0"/>
          <w:numId w:val="23"/>
        </w:numPr>
      </w:pPr>
      <w:r>
        <w:t>tarkentaa innovaatiokumppanuuden kehitysvaiheen tavoitteita</w:t>
      </w:r>
      <w:r w:rsidR="00C3214A">
        <w:t>, tavoitteiden täyttymisen mittaamista</w:t>
      </w:r>
      <w:r w:rsidR="002A10DE">
        <w:t xml:space="preserve"> ja </w:t>
      </w:r>
      <w:r w:rsidR="00C3214A">
        <w:t xml:space="preserve">kehitysvaiheen </w:t>
      </w:r>
      <w:r w:rsidR="002A10DE">
        <w:t>vaiheittaisuutta</w:t>
      </w:r>
    </w:p>
    <w:p w:rsidR="00C3214A" w:rsidRDefault="003B2C1E" w:rsidP="00C3214A">
      <w:pPr>
        <w:pStyle w:val="Luettelokappale"/>
        <w:numPr>
          <w:ilvl w:val="0"/>
          <w:numId w:val="23"/>
        </w:numPr>
      </w:pPr>
      <w:r>
        <w:t>kehittää innovaat</w:t>
      </w:r>
      <w:r w:rsidR="00627C28">
        <w:t>iokumppanuuden</w:t>
      </w:r>
      <w:r>
        <w:t xml:space="preserve"> tulosten hankintavaiheen veloitusperustemallia</w:t>
      </w:r>
    </w:p>
    <w:p w:rsidR="003B2C1E" w:rsidRDefault="00D945D6" w:rsidP="00D174EF">
      <w:pPr>
        <w:pStyle w:val="Luettelokappale"/>
        <w:numPr>
          <w:ilvl w:val="0"/>
          <w:numId w:val="23"/>
        </w:numPr>
      </w:pPr>
      <w:r>
        <w:t>tarkentaa</w:t>
      </w:r>
      <w:r w:rsidR="003B2C1E">
        <w:t xml:space="preserve"> tarjouspyyntöä</w:t>
      </w:r>
    </w:p>
    <w:p w:rsidR="00637608" w:rsidRDefault="003D7C0E" w:rsidP="00C4561A">
      <w:r>
        <w:t>Hankintayksikkö ei voi valita toimittajaa alustavien tarjousten perusteella. Alustavat tarjoukset toimivat neuvotteluiden lähtökohtana.</w:t>
      </w:r>
    </w:p>
    <w:p w:rsidR="002846F3" w:rsidRDefault="003D7C0E" w:rsidP="00C4561A">
      <w:r>
        <w:t>Lähtökohtaisesti hankintayksikkö pitää kolme neuvottelukierrosta, joista kullakin se neuvottelee yhden toimittajan kanssa kerran. Jokaisen neuvottelukierroksen välissä hankintayksikkö pyytää päivitetyllä tarjouspyynnöllä uudet alustavat tarjoukset.</w:t>
      </w:r>
      <w:r w:rsidR="002A10DE">
        <w:t xml:space="preserve"> Neuvottelujen päätyttyä hankintayksikkö pyytää lopullisella tarjouspyynnöllä tarjoukset </w:t>
      </w:r>
      <w:r w:rsidR="002A10DE">
        <w:lastRenderedPageBreak/>
        <w:t>kahden toimittajan valitsemiseksi kumppanuusvaiheeseen.</w:t>
      </w:r>
      <w:r w:rsidR="00432177">
        <w:t xml:space="preserve"> Tarvittaessa neuvottelukierroksia järjestetään enemmän kuin kolme.</w:t>
      </w:r>
    </w:p>
    <w:p w:rsidR="00637608" w:rsidRDefault="00CB728B" w:rsidP="00637608">
      <w:pPr>
        <w:pStyle w:val="Otsikko2"/>
      </w:pPr>
      <w:r>
        <w:t>Kumppanuusvaihe</w:t>
      </w:r>
    </w:p>
    <w:p w:rsidR="00637608" w:rsidRDefault="00CB728B" w:rsidP="00637608">
      <w:r>
        <w:t>Innovaatiokumppanuuden kumppanuusvaiheeseen valitut kaksi toimittajaa laativat</w:t>
      </w:r>
      <w:r w:rsidR="00A80507">
        <w:t xml:space="preserve"> omia kehityshankkeen suunnitelmia</w:t>
      </w:r>
      <w:r>
        <w:t xml:space="preserve"> yhdessä hankintayksikön kanssa. Kehitysvaiheen vaiheittaisuus</w:t>
      </w:r>
      <w:r w:rsidR="00B02557">
        <w:t xml:space="preserve"> sekä tavoitteiden täyttymisen mittaamiseen liittyvät seikat</w:t>
      </w:r>
      <w:r>
        <w:t xml:space="preserve"> tule</w:t>
      </w:r>
      <w:r w:rsidR="00B02557">
        <w:t>vat</w:t>
      </w:r>
      <w:r>
        <w:t xml:space="preserve"> tarkentumaan neuvottelujen aikana.</w:t>
      </w:r>
    </w:p>
    <w:p w:rsidR="00CB728B" w:rsidRPr="00637608" w:rsidRDefault="00CB728B" w:rsidP="00637608">
      <w:r>
        <w:t>Hankintayksikkö tekee</w:t>
      </w:r>
      <w:r w:rsidR="00A957BC">
        <w:t xml:space="preserve"> kehitysvaiheen </w:t>
      </w:r>
      <w:r w:rsidR="006F76DF">
        <w:t>tavoitteiden täyttymisen</w:t>
      </w:r>
      <w:r w:rsidR="0080716A">
        <w:t xml:space="preserve"> arvioinnin</w:t>
      </w:r>
      <w:r>
        <w:t xml:space="preserve"> perusteella valitun toimittajan kanssa kehitysvaiheen tuloksiin perustuvan hankinnan (kohdassa 2.2 tarkoitettu). Hankintayksikkö pidättää oikeuden olla tekemättä kehitysvaiheen tuloksien pohjalta hankintaa kummaltakaan kumppanuudessa mukana o</w:t>
      </w:r>
      <w:r w:rsidR="007D7289">
        <w:t>levalta toimittajalta, jos</w:t>
      </w:r>
      <w:r>
        <w:t xml:space="preserve"> </w:t>
      </w:r>
      <w:r w:rsidR="00EF232A">
        <w:t xml:space="preserve">kehitysvaiheen tulokset eivät vastaa sovittua </w:t>
      </w:r>
      <w:r w:rsidR="00225DF6">
        <w:t>tavoitetasoa</w:t>
      </w:r>
      <w:r w:rsidR="00EF232A">
        <w:t>.</w:t>
      </w:r>
      <w:r w:rsidR="00481AD8">
        <w:t xml:space="preserve"> Kehitysvaiheen tuloksiin pohjautuvan </w:t>
      </w:r>
      <w:r w:rsidR="00C127D8">
        <w:t>hankinnan</w:t>
      </w:r>
      <w:r w:rsidR="00481AD8">
        <w:t xml:space="preserve"> tekeminen on kuvattu tarkemmin liitteessä 6 ”Konsulttisopimuksen luonnos”.</w:t>
      </w:r>
    </w:p>
    <w:p w:rsidR="00515EA0" w:rsidRDefault="00515EA0" w:rsidP="00515EA0">
      <w:pPr>
        <w:pStyle w:val="Otsikko1"/>
        <w:rPr>
          <w:lang w:eastAsia="fi-FI"/>
        </w:rPr>
      </w:pPr>
      <w:bookmarkStart w:id="3" w:name="_Toc469577107"/>
      <w:r>
        <w:rPr>
          <w:lang w:eastAsia="fi-FI"/>
        </w:rPr>
        <w:t>Osallistumisvaatimukset</w:t>
      </w:r>
      <w:bookmarkEnd w:id="3"/>
    </w:p>
    <w:p w:rsidR="0038728F" w:rsidRDefault="0038728F" w:rsidP="0038728F">
      <w:pPr>
        <w:rPr>
          <w:lang w:eastAsia="fi-FI"/>
        </w:rPr>
      </w:pPr>
      <w:r>
        <w:rPr>
          <w:lang w:eastAsia="fi-FI"/>
        </w:rPr>
        <w:t>Toimittaja suljetaan pois tarjouskilpailusta, jos häntä koskee jokin hankintalain 80 §:n pakollinen poissulkemisperuste. Tarjoaja voidaan sulkea pois tarjouskilpailusta, jos häntä koskee jokin hankintalain 81 §:n harkinnanvarainen poissulkemisperuste.</w:t>
      </w:r>
    </w:p>
    <w:p w:rsidR="0038728F" w:rsidRDefault="0038728F" w:rsidP="0038728F">
      <w:pPr>
        <w:rPr>
          <w:lang w:eastAsia="fi-FI"/>
        </w:rPr>
      </w:pPr>
      <w:r>
        <w:rPr>
          <w:lang w:eastAsia="fi-FI"/>
        </w:rPr>
        <w:t>Toimittajan tulee täyttää kohdissa 4.1–4.3 esitetyt toimittajan soveltuvuutt</w:t>
      </w:r>
      <w:r w:rsidR="00C82035">
        <w:rPr>
          <w:lang w:eastAsia="fi-FI"/>
        </w:rPr>
        <w:t>a koskevat vähimmäisvaatimukset.</w:t>
      </w:r>
    </w:p>
    <w:p w:rsidR="0038728F" w:rsidRDefault="0038728F" w:rsidP="0038728F">
      <w:r>
        <w:rPr>
          <w:lang w:eastAsia="fi-FI"/>
        </w:rPr>
        <w:t>Toimittajan tulee alustavana näyttönä esittää täytetty hankintayksikön esitäyttämä Yhteinen eurooppalainen hankinta-asiakirja</w:t>
      </w:r>
      <w:r w:rsidR="00117BE3">
        <w:rPr>
          <w:lang w:eastAsia="fi-FI"/>
        </w:rPr>
        <w:t xml:space="preserve"> </w:t>
      </w:r>
      <w:r w:rsidR="00896CD3">
        <w:rPr>
          <w:lang w:eastAsia="fi-FI"/>
        </w:rPr>
        <w:t xml:space="preserve">ESPD </w:t>
      </w:r>
      <w:r w:rsidR="00117BE3">
        <w:rPr>
          <w:lang w:eastAsia="fi-FI"/>
        </w:rPr>
        <w:t>(liite 3</w:t>
      </w:r>
      <w:r w:rsidR="004B7071">
        <w:rPr>
          <w:lang w:eastAsia="fi-FI"/>
        </w:rPr>
        <w:t>)</w:t>
      </w:r>
      <w:r>
        <w:rPr>
          <w:lang w:eastAsia="fi-FI"/>
        </w:rPr>
        <w:t xml:space="preserve"> siitä, ettei sitä rasita hankintalain 80 tai 81 §:ssä tarkoitetut pakolliset ja harkinnanvaraiset poissulkemisperusteet ja, että se täyttää hankintayksikön tässä tarjouspyynnössä esittämät soveltuvuuden vähimmäisvaatimukset (esitetty kohdissa 4.1–4.3). </w:t>
      </w:r>
    </w:p>
    <w:p w:rsidR="00E608BA" w:rsidRDefault="00E608BA" w:rsidP="00E608BA">
      <w:pPr>
        <w:rPr>
          <w:lang w:eastAsia="fi-FI"/>
        </w:rPr>
      </w:pPr>
      <w:r>
        <w:t>Valitun toimittajan tulee ennen hankintasopimuksen tekemistä osoittaa Yhteisen eurooppalaisen hankinta-asiakirja</w:t>
      </w:r>
      <w:r w:rsidR="00117BE3">
        <w:t>n paikkansapitävyys liitteessä 4</w:t>
      </w:r>
      <w:r>
        <w:t xml:space="preserve"> </w:t>
      </w:r>
      <w:r>
        <w:rPr>
          <w:lang w:eastAsia="fi-FI"/>
        </w:rPr>
        <w:t>”Luettelo tarjoukseen liitettävistä asiakirjoista ja soveltuvuusvaatimusten täyttymisen osoittamiseksi toimitettavista asiakirjoista” tarkoitetuilla todistuksilla ja selvityksillä</w:t>
      </w:r>
      <w:r w:rsidR="008E0FE1">
        <w:rPr>
          <w:lang w:eastAsia="fi-FI"/>
        </w:rPr>
        <w:t>.</w:t>
      </w:r>
    </w:p>
    <w:p w:rsidR="004B7071" w:rsidRPr="00357582" w:rsidRDefault="004B7071" w:rsidP="00E608BA">
      <w:pPr>
        <w:rPr>
          <w:lang w:eastAsia="fi-FI"/>
        </w:rPr>
      </w:pPr>
      <w:r w:rsidRPr="00BE6C3E">
        <w:rPr>
          <w:lang w:eastAsia="fi-FI"/>
        </w:rPr>
        <w:t>Toimittajan ja sen alihankkijoiden tulee täyttää tilaajavastuulain 5 §:n mukaiset vaatimukset. Vaatimusten täyttyminen selvitetään ennen hankintasopimuksen tekemistä tilaajavastuulain 5 §:</w:t>
      </w:r>
      <w:r w:rsidR="00FF249A">
        <w:rPr>
          <w:lang w:eastAsia="fi-FI"/>
        </w:rPr>
        <w:t>ssä</w:t>
      </w:r>
      <w:r w:rsidRPr="00BE6C3E">
        <w:rPr>
          <w:lang w:eastAsia="fi-FI"/>
        </w:rPr>
        <w:t xml:space="preserve"> tarkoitetuin todistuksin ja selvityksin.</w:t>
      </w:r>
      <w:r>
        <w:rPr>
          <w:lang w:eastAsia="fi-FI"/>
        </w:rPr>
        <w:t xml:space="preserve"> </w:t>
      </w:r>
    </w:p>
    <w:p w:rsidR="00694258" w:rsidRDefault="00802AD5" w:rsidP="00694258">
      <w:pPr>
        <w:pStyle w:val="Otsikko2"/>
        <w:rPr>
          <w:lang w:eastAsia="fi-FI"/>
        </w:rPr>
      </w:pPr>
      <w:r>
        <w:rPr>
          <w:lang w:eastAsia="fi-FI"/>
        </w:rPr>
        <w:t>Oikeus harjoittaa ammatti- ja elinkeinotoimintaa</w:t>
      </w:r>
    </w:p>
    <w:p w:rsidR="00523EE1" w:rsidRDefault="00523EE1" w:rsidP="00523EE1">
      <w:pPr>
        <w:spacing w:after="240"/>
      </w:pPr>
      <w:r>
        <w:t xml:space="preserve">Toimittajalla </w:t>
      </w:r>
      <w:r w:rsidR="00903953">
        <w:t xml:space="preserve">tai menettelyyn osallistuvan ryhmittymän jäsenellä </w:t>
      </w:r>
      <w:r>
        <w:t xml:space="preserve">tulee olla oikeus harjoittaa ammatti- tai elinkeinotoimintaa sijoittumismaassaan. </w:t>
      </w:r>
    </w:p>
    <w:p w:rsidR="00523EE1" w:rsidRDefault="00523EE1" w:rsidP="00523EE1">
      <w:pPr>
        <w:spacing w:after="0"/>
      </w:pPr>
      <w:r>
        <w:t xml:space="preserve">Vaatimusten täyttymisen </w:t>
      </w:r>
      <w:r w:rsidR="00195CA6">
        <w:t xml:space="preserve">ja ESPD:n paikkansapitävyyden </w:t>
      </w:r>
      <w:r>
        <w:t>osoittamiseksi valitun toimittajan</w:t>
      </w:r>
      <w:r w:rsidR="00047D9D">
        <w:t xml:space="preserve"> tai ryhmittymän jäsenen</w:t>
      </w:r>
      <w:r>
        <w:t xml:space="preserve"> tulee toimittaa ennen hankintasopimuksen tekemistä hankintayksikölle jokin seuraavista:</w:t>
      </w:r>
    </w:p>
    <w:p w:rsidR="00523EE1" w:rsidRDefault="00523EE1" w:rsidP="00523EE1">
      <w:pPr>
        <w:pStyle w:val="Luettelokappale"/>
        <w:numPr>
          <w:ilvl w:val="0"/>
          <w:numId w:val="21"/>
        </w:numPr>
        <w:spacing w:after="240"/>
      </w:pPr>
      <w:r>
        <w:t>Rekisteriote siitä, että toimittaja on rekisteröity ammatti- tai elinkeinorekisteriin</w:t>
      </w:r>
    </w:p>
    <w:p w:rsidR="00523EE1" w:rsidRDefault="00523EE1" w:rsidP="00523EE1">
      <w:pPr>
        <w:pStyle w:val="Luettelokappale"/>
        <w:numPr>
          <w:ilvl w:val="0"/>
          <w:numId w:val="21"/>
        </w:numPr>
        <w:spacing w:after="240"/>
      </w:pPr>
      <w:r>
        <w:lastRenderedPageBreak/>
        <w:t>Valaehtoinen ilmoitus tai todistus siitä, että toimittaja harjoittaa elinkeinotoimintaa</w:t>
      </w:r>
    </w:p>
    <w:p w:rsidR="00523EE1" w:rsidRDefault="00523EE1" w:rsidP="00523EE1">
      <w:pPr>
        <w:pStyle w:val="Luettelokappale"/>
        <w:numPr>
          <w:ilvl w:val="0"/>
          <w:numId w:val="21"/>
        </w:numPr>
        <w:spacing w:after="240"/>
      </w:pPr>
      <w:r>
        <w:t>Toimilupa tai järjestön jäsenyyttä koskeva todistus siitä, että toimittaja on oikeutettu palvelun tarjoamiseen sijoittumismaassaan</w:t>
      </w:r>
    </w:p>
    <w:p w:rsidR="00515EA0" w:rsidRDefault="00515EA0" w:rsidP="00515EA0">
      <w:pPr>
        <w:pStyle w:val="Otsikko2"/>
        <w:rPr>
          <w:lang w:eastAsia="fi-FI"/>
        </w:rPr>
      </w:pPr>
      <w:r>
        <w:rPr>
          <w:lang w:eastAsia="fi-FI"/>
        </w:rPr>
        <w:t>Vaatimukset taloudellisesta ja rahoituksellisesta tilanteesta</w:t>
      </w:r>
    </w:p>
    <w:p w:rsidR="00F93047" w:rsidRDefault="00F93047" w:rsidP="00F93047">
      <w:pPr>
        <w:spacing w:after="240"/>
      </w:pPr>
      <w:r>
        <w:t>Toimittajan tulee täyttää seuraavat taloudellista ja rahoituksellista tilannetta koskevat vaatimukset:</w:t>
      </w:r>
    </w:p>
    <w:p w:rsidR="00F93047" w:rsidRDefault="00F93047" w:rsidP="00F93047">
      <w:pPr>
        <w:pStyle w:val="Luettelokappale"/>
        <w:numPr>
          <w:ilvl w:val="0"/>
          <w:numId w:val="20"/>
        </w:numPr>
        <w:spacing w:after="240"/>
      </w:pPr>
      <w:r>
        <w:t>Toimittajalla tulee olla voimassa</w:t>
      </w:r>
      <w:r w:rsidR="00723CDE">
        <w:t xml:space="preserve"> </w:t>
      </w:r>
      <w:r>
        <w:t>oleva konsulttivastuuvakuutus, joka kattaa vähintään toimeksiannon palkkion KSE 2013 kohdan 3.2.3 mukaisesti</w:t>
      </w:r>
    </w:p>
    <w:p w:rsidR="00F93047" w:rsidRDefault="00F93047" w:rsidP="00F93047">
      <w:pPr>
        <w:pStyle w:val="Luettelokappale"/>
        <w:numPr>
          <w:ilvl w:val="0"/>
          <w:numId w:val="20"/>
        </w:numPr>
        <w:spacing w:after="240"/>
      </w:pPr>
      <w:r>
        <w:t xml:space="preserve">Toimittajan viimeisimmän kokonaisen tilikauden liikevaihdon tulee olla vähintään </w:t>
      </w:r>
      <w:r w:rsidR="00564E25">
        <w:t>x</w:t>
      </w:r>
      <w:r>
        <w:t xml:space="preserve"> kertaa hankinnan ennak</w:t>
      </w:r>
      <w:r w:rsidR="002E50E4">
        <w:t>oidun arvon suuruinen</w:t>
      </w:r>
      <w:r w:rsidR="00564E25">
        <w:t xml:space="preserve"> </w:t>
      </w:r>
      <w:r w:rsidR="00564E25" w:rsidRPr="00564E25">
        <w:rPr>
          <w:color w:val="538135" w:themeColor="accent6" w:themeShade="BF"/>
        </w:rPr>
        <w:t>(hankintalain mukaisesti vaadittava vähimmäisliikevaihto voi olla enintään 2 kertaa hankinnan ennakoidun arvon suuruinen)</w:t>
      </w:r>
    </w:p>
    <w:p w:rsidR="002E50E4" w:rsidRDefault="003E3178" w:rsidP="002E50E4">
      <w:pPr>
        <w:pStyle w:val="Luettelokappale"/>
        <w:numPr>
          <w:ilvl w:val="1"/>
          <w:numId w:val="20"/>
        </w:numPr>
        <w:spacing w:after="240"/>
      </w:pPr>
      <w:r>
        <w:t>Hankinnan e</w:t>
      </w:r>
      <w:r w:rsidR="002E50E4">
        <w:t>nnakoitu arvo</w:t>
      </w:r>
      <w:r>
        <w:t xml:space="preserve"> on</w:t>
      </w:r>
      <w:r w:rsidR="002E50E4">
        <w:t xml:space="preserve"> esitetty hankintailmoituksessa</w:t>
      </w:r>
    </w:p>
    <w:p w:rsidR="00F830F6" w:rsidRDefault="00F830F6" w:rsidP="00F830F6">
      <w:pPr>
        <w:spacing w:after="240"/>
      </w:pPr>
      <w:r>
        <w:t>Toimittajien ryhmittymän tulee täyttää edellä kuvatut vaatimukset seuraavasti:</w:t>
      </w:r>
    </w:p>
    <w:p w:rsidR="00F830F6" w:rsidRDefault="00F830F6" w:rsidP="00F830F6">
      <w:pPr>
        <w:pStyle w:val="Luettelokappale"/>
        <w:numPr>
          <w:ilvl w:val="0"/>
          <w:numId w:val="25"/>
        </w:numPr>
        <w:spacing w:after="240"/>
      </w:pPr>
      <w:r>
        <w:t>Toimittajien ryhmittymän sisäisin järjestelyin tulee varmistaa, että ryhmittymän jäsenten konsulttivastuuvakuutukset täyttävät yllä esitetyn vaatimuksen</w:t>
      </w:r>
    </w:p>
    <w:p w:rsidR="00F830F6" w:rsidRDefault="00F830F6" w:rsidP="00F830F6">
      <w:pPr>
        <w:pStyle w:val="Luettelokappale"/>
        <w:numPr>
          <w:ilvl w:val="0"/>
          <w:numId w:val="25"/>
        </w:numPr>
        <w:spacing w:after="240"/>
      </w:pPr>
      <w:r>
        <w:t>Toimittajan ryhmittymän jäsenten yhteenlaskettu</w:t>
      </w:r>
      <w:r w:rsidR="00DE2BA9">
        <w:t xml:space="preserve"> </w:t>
      </w:r>
      <w:r>
        <w:t xml:space="preserve">liikevaihto on </w:t>
      </w:r>
      <w:r w:rsidR="00C75C4C">
        <w:t>x</w:t>
      </w:r>
      <w:r>
        <w:t xml:space="preserve"> kertaa hankinnan ennakoidun arvon suuruinen</w:t>
      </w:r>
    </w:p>
    <w:p w:rsidR="00515EA0" w:rsidRDefault="00515EA0" w:rsidP="00515EA0">
      <w:pPr>
        <w:pStyle w:val="Otsikko2"/>
        <w:rPr>
          <w:lang w:eastAsia="fi-FI"/>
        </w:rPr>
      </w:pPr>
      <w:r>
        <w:rPr>
          <w:lang w:eastAsia="fi-FI"/>
        </w:rPr>
        <w:t xml:space="preserve">Vaatimukset tekniselle </w:t>
      </w:r>
      <w:r w:rsidR="00530E69">
        <w:rPr>
          <w:lang w:eastAsia="fi-FI"/>
        </w:rPr>
        <w:t xml:space="preserve">suorituskyvylle </w:t>
      </w:r>
      <w:r>
        <w:rPr>
          <w:lang w:eastAsia="fi-FI"/>
        </w:rPr>
        <w:t>ja ammatilliselle pätevyydelle</w:t>
      </w:r>
    </w:p>
    <w:p w:rsidR="00F93047" w:rsidRDefault="00F93047" w:rsidP="00F93047">
      <w:pPr>
        <w:spacing w:after="240"/>
      </w:pPr>
      <w:r>
        <w:t xml:space="preserve">Toimittajan </w:t>
      </w:r>
      <w:r w:rsidR="00AC5A60">
        <w:t xml:space="preserve">tai ryhmittymän </w:t>
      </w:r>
      <w:r>
        <w:t>tulee täyttää seuraavat teknistä suorituskykyä ja ammatillista pätevyyttä koskevat vaatimukset:</w:t>
      </w:r>
    </w:p>
    <w:p w:rsidR="00FC203F" w:rsidRDefault="00CA4E32" w:rsidP="00ED2B78">
      <w:pPr>
        <w:pStyle w:val="Luettelokappale"/>
        <w:numPr>
          <w:ilvl w:val="0"/>
          <w:numId w:val="19"/>
        </w:numPr>
        <w:rPr>
          <w:lang w:eastAsia="fi-FI"/>
        </w:rPr>
      </w:pPr>
      <w:r>
        <w:rPr>
          <w:lang w:eastAsia="fi-FI"/>
        </w:rPr>
        <w:t xml:space="preserve">Tarjoavalla </w:t>
      </w:r>
      <w:r w:rsidR="00CF7DD2">
        <w:rPr>
          <w:lang w:eastAsia="fi-FI"/>
        </w:rPr>
        <w:t>toimittajalla</w:t>
      </w:r>
      <w:r>
        <w:rPr>
          <w:lang w:eastAsia="fi-FI"/>
        </w:rPr>
        <w:t xml:space="preserve"> tai ryhm</w:t>
      </w:r>
      <w:r w:rsidR="00FC203F">
        <w:rPr>
          <w:lang w:eastAsia="fi-FI"/>
        </w:rPr>
        <w:t>ittymällä tulee olla</w:t>
      </w:r>
      <w:r w:rsidR="00ED2B78">
        <w:rPr>
          <w:lang w:eastAsia="fi-FI"/>
        </w:rPr>
        <w:t xml:space="preserve"> </w:t>
      </w:r>
      <w:r w:rsidR="000A3362">
        <w:rPr>
          <w:lang w:eastAsia="fi-FI"/>
        </w:rPr>
        <w:t xml:space="preserve">viimeisen </w:t>
      </w:r>
      <w:r w:rsidR="000F5A65">
        <w:rPr>
          <w:lang w:eastAsia="fi-FI"/>
        </w:rPr>
        <w:t>x</w:t>
      </w:r>
      <w:r w:rsidR="00ED2B78">
        <w:rPr>
          <w:lang w:eastAsia="fi-FI"/>
        </w:rPr>
        <w:t xml:space="preserve"> vuoden ajalta vähintään </w:t>
      </w:r>
      <w:r w:rsidR="00772C75">
        <w:rPr>
          <w:lang w:eastAsia="fi-FI"/>
        </w:rPr>
        <w:t>x kpl</w:t>
      </w:r>
      <w:r w:rsidR="00ED2B78">
        <w:rPr>
          <w:lang w:eastAsia="fi-FI"/>
        </w:rPr>
        <w:t xml:space="preserve"> energiakonsultointireferenssiä, joiden kohteena on ollut laajuudeltaan </w:t>
      </w:r>
      <w:r w:rsidR="00772C75">
        <w:rPr>
          <w:lang w:eastAsia="fi-FI"/>
        </w:rPr>
        <w:t>x</w:t>
      </w:r>
      <w:r w:rsidR="00ED2B78">
        <w:rPr>
          <w:lang w:eastAsia="fi-FI"/>
        </w:rPr>
        <w:t xml:space="preserve"> brm2 kiinteistö tai kiinteistöryhmä</w:t>
      </w:r>
      <w:r w:rsidR="0028390D">
        <w:rPr>
          <w:lang w:eastAsia="fi-FI"/>
        </w:rPr>
        <w:t xml:space="preserve"> </w:t>
      </w:r>
      <w:r w:rsidR="0028390D" w:rsidRPr="0028390D">
        <w:rPr>
          <w:color w:val="538135" w:themeColor="accent6" w:themeShade="BF"/>
          <w:lang w:eastAsia="fi-FI"/>
        </w:rPr>
        <w:t>(hankintalain liitteen D mukaisesti, referenssejä voidaan huomioida 3 vuoden ajalta, ellei riittävän kilpailun varmistamiseksi ole tarpeen käyttää pidempää aikaväliä)</w:t>
      </w:r>
    </w:p>
    <w:p w:rsidR="00ED2B78" w:rsidRDefault="00ED2B78" w:rsidP="00ED2B78">
      <w:pPr>
        <w:pStyle w:val="Luettelokappale"/>
        <w:numPr>
          <w:ilvl w:val="1"/>
          <w:numId w:val="19"/>
        </w:numPr>
        <w:rPr>
          <w:lang w:eastAsia="fi-FI"/>
        </w:rPr>
      </w:pPr>
      <w:r>
        <w:rPr>
          <w:lang w:eastAsia="fi-FI"/>
        </w:rPr>
        <w:t>kohteet voivat olla uudis- tai korjausrakentamiskohteita</w:t>
      </w:r>
    </w:p>
    <w:p w:rsidR="00F93047" w:rsidRDefault="00F93047" w:rsidP="00515EA0">
      <w:pPr>
        <w:rPr>
          <w:lang w:eastAsia="fi-FI"/>
        </w:rPr>
      </w:pPr>
      <w:r>
        <w:rPr>
          <w:lang w:eastAsia="fi-FI"/>
        </w:rPr>
        <w:t>Referenssin voimassaoloajan katsotaan alkavan viimeistään takuuajan päättymisestä.</w:t>
      </w:r>
      <w:r w:rsidR="0019297D">
        <w:rPr>
          <w:lang w:eastAsia="fi-FI"/>
        </w:rPr>
        <w:t xml:space="preserve"> </w:t>
      </w:r>
      <w:r w:rsidR="0019297D" w:rsidRPr="0019297D">
        <w:rPr>
          <w:color w:val="538135" w:themeColor="accent6" w:themeShade="BF"/>
          <w:lang w:eastAsia="fi-FI"/>
        </w:rPr>
        <w:t>(Hankintayksikkö voi määrittää myös muun ajankohdan, jolloin referenssin voimassaoloajan katsotaan alkavan)</w:t>
      </w:r>
    </w:p>
    <w:p w:rsidR="00D30286" w:rsidRDefault="00AD10D3" w:rsidP="00515EA0">
      <w:pPr>
        <w:rPr>
          <w:lang w:eastAsia="fi-FI"/>
        </w:rPr>
      </w:pPr>
      <w:r>
        <w:rPr>
          <w:lang w:eastAsia="fi-FI"/>
        </w:rPr>
        <w:t xml:space="preserve">Tarjouksessa ei nimetä eri suunnittelualojen tai rakennuttamisen vastuuhenkilöitä. </w:t>
      </w:r>
      <w:r w:rsidR="00CD09F5">
        <w:rPr>
          <w:lang w:eastAsia="fi-FI"/>
        </w:rPr>
        <w:t>Ne tullaan nimeämään myöhemmin tarpeen mukaisesti kehitysvaiheen tuloksiin pohjautuen.</w:t>
      </w:r>
      <w:r w:rsidR="004C4C1F">
        <w:rPr>
          <w:lang w:eastAsia="fi-FI"/>
        </w:rPr>
        <w:t xml:space="preserve"> Myöhemmin nimettävien vastuuhenkilöillä tulee olla lainmukaiset edellytykset toimia</w:t>
      </w:r>
      <w:r w:rsidR="00B73AB8">
        <w:rPr>
          <w:lang w:eastAsia="fi-FI"/>
        </w:rPr>
        <w:t xml:space="preserve"> tehtävässään.</w:t>
      </w:r>
      <w:r w:rsidR="00A93440">
        <w:rPr>
          <w:lang w:eastAsia="fi-FI"/>
        </w:rPr>
        <w:t xml:space="preserve"> Näiden vastuuhenkilöiden ei tarvitse olla suorassa työsuhteessa ensisijaiseen toimittajaan.</w:t>
      </w:r>
    </w:p>
    <w:p w:rsidR="00515EA0" w:rsidRDefault="00A029E9" w:rsidP="00515EA0">
      <w:pPr>
        <w:pStyle w:val="Otsikko2"/>
        <w:rPr>
          <w:lang w:eastAsia="fi-FI"/>
        </w:rPr>
      </w:pPr>
      <w:r>
        <w:rPr>
          <w:lang w:eastAsia="fi-FI"/>
        </w:rPr>
        <w:t>Vähimmäisvaatimukset täyttävien ehdokkaiden valinta</w:t>
      </w:r>
    </w:p>
    <w:p w:rsidR="00A029E9" w:rsidRDefault="00A029E9" w:rsidP="00A029E9">
      <w:pPr>
        <w:rPr>
          <w:lang w:eastAsia="fi-FI"/>
        </w:rPr>
      </w:pPr>
      <w:r>
        <w:rPr>
          <w:lang w:eastAsia="fi-FI"/>
        </w:rPr>
        <w:t>Jos vähimmäisvaatimukset täyttäviä ehdokkaita on enemmän kuin hankintailmoituksessa esitetty enimmäismäärä, valitaan tarjoajaksi hyväksyttävät ehdokkaat seuraavin perustein:</w:t>
      </w:r>
    </w:p>
    <w:p w:rsidR="00AB4848" w:rsidRDefault="00BC58F6" w:rsidP="000D144D">
      <w:pPr>
        <w:pStyle w:val="Luettelokappale"/>
        <w:numPr>
          <w:ilvl w:val="0"/>
          <w:numId w:val="17"/>
        </w:numPr>
        <w:rPr>
          <w:lang w:eastAsia="fi-FI"/>
        </w:rPr>
      </w:pPr>
      <w:r>
        <w:rPr>
          <w:lang w:eastAsia="fi-FI"/>
        </w:rPr>
        <w:lastRenderedPageBreak/>
        <w:t xml:space="preserve">Kohdassa </w:t>
      </w:r>
      <w:r w:rsidR="00C0462F">
        <w:rPr>
          <w:lang w:eastAsia="fi-FI"/>
        </w:rPr>
        <w:t>4.3 tarkoitettu</w:t>
      </w:r>
      <w:r w:rsidR="004C6E2F">
        <w:rPr>
          <w:lang w:eastAsia="fi-FI"/>
        </w:rPr>
        <w:t>jen referenssien määrä viimeisen viiden vuoden ajalta</w:t>
      </w:r>
      <w:r w:rsidR="000D144D">
        <w:rPr>
          <w:lang w:eastAsia="fi-FI"/>
        </w:rPr>
        <w:t xml:space="preserve"> seuraavasti</w:t>
      </w:r>
      <w:r w:rsidR="00E433DF">
        <w:rPr>
          <w:lang w:eastAsia="fi-FI"/>
        </w:rPr>
        <w:t xml:space="preserve"> pisteyttäen</w:t>
      </w:r>
      <w:r w:rsidR="000D144D">
        <w:rPr>
          <w:lang w:eastAsia="fi-FI"/>
        </w:rPr>
        <w:t>:</w:t>
      </w:r>
    </w:p>
    <w:p w:rsidR="000D144D" w:rsidRDefault="000D144D" w:rsidP="00E433DF">
      <w:pPr>
        <w:pStyle w:val="Luettelokappale"/>
        <w:numPr>
          <w:ilvl w:val="1"/>
          <w:numId w:val="17"/>
        </w:numPr>
        <w:rPr>
          <w:lang w:eastAsia="fi-FI"/>
        </w:rPr>
      </w:pPr>
      <w:r>
        <w:rPr>
          <w:lang w:eastAsia="fi-FI"/>
        </w:rPr>
        <w:t>Korjausrakentamisref</w:t>
      </w:r>
      <w:r w:rsidR="001F02CD">
        <w:rPr>
          <w:lang w:eastAsia="fi-FI"/>
        </w:rPr>
        <w:t>erenssi = 1,5</w:t>
      </w:r>
      <w:r>
        <w:rPr>
          <w:lang w:eastAsia="fi-FI"/>
        </w:rPr>
        <w:t xml:space="preserve"> pistettä</w:t>
      </w:r>
    </w:p>
    <w:p w:rsidR="000D144D" w:rsidRDefault="000D144D" w:rsidP="00E433DF">
      <w:pPr>
        <w:pStyle w:val="Luettelokappale"/>
        <w:numPr>
          <w:ilvl w:val="1"/>
          <w:numId w:val="17"/>
        </w:numPr>
        <w:rPr>
          <w:lang w:eastAsia="fi-FI"/>
        </w:rPr>
      </w:pPr>
      <w:r>
        <w:rPr>
          <w:lang w:eastAsia="fi-FI"/>
        </w:rPr>
        <w:t>Uudisrakentamisreferenssi = 1 piste</w:t>
      </w:r>
    </w:p>
    <w:p w:rsidR="00E433DF" w:rsidRDefault="00E433DF" w:rsidP="00E433DF">
      <w:pPr>
        <w:pStyle w:val="Luettelokappale"/>
        <w:numPr>
          <w:ilvl w:val="1"/>
          <w:numId w:val="17"/>
        </w:numPr>
        <w:rPr>
          <w:lang w:eastAsia="fi-FI"/>
        </w:rPr>
      </w:pPr>
      <w:r>
        <w:rPr>
          <w:lang w:eastAsia="fi-FI"/>
        </w:rPr>
        <w:t>Kolme eniten pisteitä saanutta toimittajaa valitaan menettelyyn</w:t>
      </w:r>
    </w:p>
    <w:p w:rsidR="00F504D2" w:rsidRPr="00F504D2" w:rsidRDefault="00F504D2" w:rsidP="00F504D2">
      <w:pPr>
        <w:rPr>
          <w:color w:val="538135" w:themeColor="accent6" w:themeShade="BF"/>
          <w:lang w:eastAsia="fi-FI"/>
        </w:rPr>
      </w:pPr>
      <w:r w:rsidRPr="00F504D2">
        <w:rPr>
          <w:color w:val="538135" w:themeColor="accent6" w:themeShade="BF"/>
          <w:lang w:eastAsia="fi-FI"/>
        </w:rPr>
        <w:t>(Vähimmäisvaatimukset täyttävien ehdokkaiden valinnassa tulee käyttää vähimmäisvaatimuksista poikkeavia tai ne ylittäviä vertailuperusteita)</w:t>
      </w:r>
    </w:p>
    <w:p w:rsidR="005524C1" w:rsidRDefault="005524C1" w:rsidP="005524C1">
      <w:pPr>
        <w:pStyle w:val="Otsikko1"/>
      </w:pPr>
      <w:bookmarkStart w:id="4" w:name="_Toc469577108"/>
      <w:r>
        <w:t>Tarjouksen sisältö ja jättäminen</w:t>
      </w:r>
      <w:bookmarkEnd w:id="4"/>
    </w:p>
    <w:p w:rsidR="005524C1" w:rsidRDefault="005524C1" w:rsidP="005524C1">
      <w:pPr>
        <w:pStyle w:val="Otsikko2"/>
      </w:pPr>
      <w:r>
        <w:t>Tarjouksen sisältöohje</w:t>
      </w:r>
    </w:p>
    <w:p w:rsidR="00002ACD" w:rsidRPr="00002ACD" w:rsidRDefault="00002ACD" w:rsidP="00002ACD">
      <w:r>
        <w:t>Tarjous laaditaan hankintayksikön kilpailutusjärjestelmässä.</w:t>
      </w:r>
      <w:r w:rsidRPr="004C6565">
        <w:t xml:space="preserve"> </w:t>
      </w:r>
      <w:r w:rsidRPr="000F38E2">
        <w:t>Tarjous liitteineen on tehtävä kirjallisesti suomen kielellä</w:t>
      </w:r>
      <w:r w:rsidRPr="001D08D4">
        <w:t xml:space="preserve"> </w:t>
      </w:r>
      <w:r w:rsidR="002D6C3D">
        <w:t xml:space="preserve">hankintayksikön </w:t>
      </w:r>
      <w:r w:rsidR="004B18F2">
        <w:t>kilpailutusjärj</w:t>
      </w:r>
      <w:r w:rsidR="000F698A">
        <w:t>e</w:t>
      </w:r>
      <w:r w:rsidR="004B18F2">
        <w:t>stelmässä</w:t>
      </w:r>
      <w:r>
        <w:t xml:space="preserve"> pyydetyllä tavalla eriteltynä</w:t>
      </w:r>
      <w:r w:rsidRPr="000F38E2">
        <w:t>.</w:t>
      </w:r>
      <w:r w:rsidRPr="009C2D28">
        <w:t xml:space="preserve"> </w:t>
      </w:r>
      <w:r w:rsidRPr="000F38E2">
        <w:t xml:space="preserve">Tarjouksen tulee sisältää ne selvitykset ja todistukset, jotka on pyydetty liittämään tarjoukseen </w:t>
      </w:r>
      <w:r>
        <w:t>tässä tarjouspyynnössä</w:t>
      </w:r>
      <w:r w:rsidR="002D6C3D">
        <w:t xml:space="preserve"> ja hankintayksikön </w:t>
      </w:r>
      <w:r w:rsidR="000F698A">
        <w:t>kilpailutusjärjestelmän</w:t>
      </w:r>
      <w:r w:rsidR="002D6C3D">
        <w:t xml:space="preserve"> tarjouslomakkeessa </w:t>
      </w:r>
      <w:r w:rsidRPr="000F38E2">
        <w:t>tai</w:t>
      </w:r>
      <w:r w:rsidR="002D6C3D">
        <w:t xml:space="preserve"> on</w:t>
      </w:r>
      <w:r w:rsidRPr="000F38E2">
        <w:t xml:space="preserve"> pyydetty toimittamaan erikseen esitetyssä määräajassa. Selvityksien tai todistuksien osalta puutteelliset tarjoukset hylätään tarjouspyynnön vastaisina.</w:t>
      </w:r>
    </w:p>
    <w:p w:rsidR="00002ACD" w:rsidRPr="000F38E2" w:rsidRDefault="00002ACD" w:rsidP="00002ACD">
      <w:pPr>
        <w:rPr>
          <w:rFonts w:ascii="Times New Roman" w:hAnsi="Times New Roman" w:cs="Times New Roman"/>
          <w:sz w:val="24"/>
          <w:szCs w:val="24"/>
        </w:rPr>
      </w:pPr>
      <w:r>
        <w:t>Tarjous ei saa olla ehdollinen eikä t</w:t>
      </w:r>
      <w:r w:rsidRPr="000F38E2">
        <w:t>arjoajalla ei ole mahdollisuutta esittää omia sopimusehtoja. Tarjoajan lisäämiä sopimusehtoja sisältävät tarjoukset hylätään tarjouspyynnön vastaisina.</w:t>
      </w:r>
    </w:p>
    <w:p w:rsidR="007C2D62" w:rsidRDefault="00002ACD" w:rsidP="007C2D62">
      <w:r w:rsidRPr="000F38E2">
        <w:t>Osatarjouksia tai vaihtoehtoisia tarjouksia ei hyväksytä.</w:t>
      </w:r>
      <w:r w:rsidR="007C2D62" w:rsidRPr="007C2D62">
        <w:t xml:space="preserve"> </w:t>
      </w:r>
      <w:r w:rsidR="00F16F08" w:rsidRPr="00F16F08">
        <w:rPr>
          <w:color w:val="538135" w:themeColor="accent6" w:themeShade="BF"/>
        </w:rPr>
        <w:t>(Hankintayksikkö voi esittää myös hyväksyvänsä vaihtoehtoiset tarjoukset ja/tai osatarjoukset. Osatarjoukset hyväksyttäessä hankintayksikön tulee esittää, kuinka hankinta on jaettu osiin.)</w:t>
      </w:r>
    </w:p>
    <w:p w:rsidR="00002ACD" w:rsidRDefault="00002ACD" w:rsidP="00002ACD">
      <w:r>
        <w:t xml:space="preserve">Tarjouksen tulee olla voimassa vähintään </w:t>
      </w:r>
      <w:r w:rsidR="00342057">
        <w:t>x</w:t>
      </w:r>
      <w:r>
        <w:t xml:space="preserve"> kuukautta tarjousten jättämisen määräajan umpeutumisesta.</w:t>
      </w:r>
    </w:p>
    <w:p w:rsidR="00AD0CD0" w:rsidRDefault="00AD0CD0" w:rsidP="00AD0CD0">
      <w:pPr>
        <w:pStyle w:val="Otsikko2"/>
      </w:pPr>
      <w:r>
        <w:t>Tarjoukse</w:t>
      </w:r>
      <w:r w:rsidR="00AA1942">
        <w:t>e</w:t>
      </w:r>
      <w:r>
        <w:t>n</w:t>
      </w:r>
      <w:r w:rsidR="00AA1942">
        <w:t xml:space="preserve"> laadittavat</w:t>
      </w:r>
      <w:r>
        <w:t xml:space="preserve"> liitteet</w:t>
      </w:r>
    </w:p>
    <w:p w:rsidR="00604FB1" w:rsidRDefault="00604FB1" w:rsidP="00604FB1">
      <w:r>
        <w:t>Tarjoukseen liitettäväksi tulee laatia:</w:t>
      </w:r>
    </w:p>
    <w:p w:rsidR="00604FB1" w:rsidRDefault="00604FB1" w:rsidP="00604FB1">
      <w:pPr>
        <w:pStyle w:val="Luettelokappale"/>
        <w:numPr>
          <w:ilvl w:val="0"/>
          <w:numId w:val="11"/>
        </w:numPr>
      </w:pPr>
      <w:r>
        <w:t xml:space="preserve">Projektisuunnitelma, joka sisältää esityksen </w:t>
      </w:r>
    </w:p>
    <w:p w:rsidR="00604FB1" w:rsidRDefault="00604FB1" w:rsidP="00604FB1">
      <w:pPr>
        <w:pStyle w:val="Luettelokappale"/>
        <w:numPr>
          <w:ilvl w:val="1"/>
          <w:numId w:val="11"/>
        </w:numPr>
      </w:pPr>
      <w:r>
        <w:t xml:space="preserve">kehityshankkeen tunnistetuista riskeistä ja mahdollisuuksista </w:t>
      </w:r>
    </w:p>
    <w:p w:rsidR="00604FB1" w:rsidRDefault="00604FB1" w:rsidP="00604FB1">
      <w:pPr>
        <w:pStyle w:val="Luettelokappale"/>
        <w:numPr>
          <w:ilvl w:val="2"/>
          <w:numId w:val="11"/>
        </w:numPr>
      </w:pPr>
      <w:r>
        <w:t xml:space="preserve">enimmäispituus on </w:t>
      </w:r>
      <w:r w:rsidR="006965F0">
        <w:t>x</w:t>
      </w:r>
      <w:r>
        <w:t xml:space="preserve"> sivua (fontti Arial, fonttikoko 12 pt.)</w:t>
      </w:r>
    </w:p>
    <w:p w:rsidR="00604FB1" w:rsidRDefault="00604FB1" w:rsidP="00604FB1">
      <w:pPr>
        <w:pStyle w:val="Luettelokappale"/>
        <w:numPr>
          <w:ilvl w:val="1"/>
          <w:numId w:val="11"/>
        </w:numPr>
      </w:pPr>
      <w:r>
        <w:t>alustavan suunnitelman työn organisoinnista</w:t>
      </w:r>
    </w:p>
    <w:p w:rsidR="00604FB1" w:rsidRDefault="00604FB1" w:rsidP="00944B76">
      <w:pPr>
        <w:pStyle w:val="Luettelokappale"/>
        <w:numPr>
          <w:ilvl w:val="2"/>
          <w:numId w:val="11"/>
        </w:numPr>
      </w:pPr>
      <w:r>
        <w:t xml:space="preserve">enimmäispituus on </w:t>
      </w:r>
      <w:r w:rsidR="006965F0">
        <w:t>x</w:t>
      </w:r>
      <w:r>
        <w:t xml:space="preserve"> sivua (fontti Arial, fonttikoko 12 pt.)</w:t>
      </w:r>
    </w:p>
    <w:p w:rsidR="00604FB1" w:rsidRDefault="00604FB1" w:rsidP="00604FB1">
      <w:pPr>
        <w:pStyle w:val="Luettelokappale"/>
        <w:numPr>
          <w:ilvl w:val="1"/>
          <w:numId w:val="11"/>
        </w:numPr>
      </w:pPr>
      <w:r>
        <w:t>Mikäli tarjoajan esittämä</w:t>
      </w:r>
      <w:r w:rsidR="00944B76">
        <w:t>n</w:t>
      </w:r>
      <w:r>
        <w:t xml:space="preserve"> projektisuunnitelma</w:t>
      </w:r>
      <w:r w:rsidR="00944B76">
        <w:t>n</w:t>
      </w:r>
      <w:r>
        <w:t xml:space="preserve"> </w:t>
      </w:r>
      <w:r w:rsidR="00944B76">
        <w:t xml:space="preserve">osa-alueen </w:t>
      </w:r>
      <w:r>
        <w:t xml:space="preserve">pituus </w:t>
      </w:r>
      <w:r w:rsidR="00944B76">
        <w:t>ylittää asetetun enimmäispituuden</w:t>
      </w:r>
      <w:r>
        <w:t xml:space="preserve">, vain </w:t>
      </w:r>
      <w:r w:rsidR="00944B76">
        <w:t>enimmäispituuden mittainen osuus osa-alueen alusta</w:t>
      </w:r>
      <w:r>
        <w:t xml:space="preserve"> huomioidaan tarjouksen arvioinnissa</w:t>
      </w:r>
    </w:p>
    <w:p w:rsidR="00604FB1" w:rsidRDefault="00604FB1" w:rsidP="00604FB1">
      <w:r>
        <w:t xml:space="preserve">Luettelo muista tarjoukseen liitettävistä asiakirjoista on esitetty liitteessä </w:t>
      </w:r>
      <w:r w:rsidR="008C4A23">
        <w:t>4</w:t>
      </w:r>
      <w:r>
        <w:t>.</w:t>
      </w:r>
    </w:p>
    <w:p w:rsidR="00FF5893" w:rsidRDefault="00FF5893" w:rsidP="00FF5893">
      <w:pPr>
        <w:pStyle w:val="Otsikko2"/>
      </w:pPr>
      <w:r>
        <w:t>Tarjouksessa nimettävät henkilöt</w:t>
      </w:r>
    </w:p>
    <w:p w:rsidR="00CD55D5" w:rsidRPr="00A1276F" w:rsidRDefault="00CD55D5" w:rsidP="00CD55D5">
      <w:r w:rsidRPr="00A1276F">
        <w:t xml:space="preserve">Tarjouksessa tulee </w:t>
      </w:r>
      <w:r>
        <w:t>esittää</w:t>
      </w:r>
      <w:r w:rsidRPr="00A1276F">
        <w:t xml:space="preserve"> yhteyshenkilö, johon hankintayksikkö on yhteydessä menettelyn aikana. </w:t>
      </w:r>
      <w:r>
        <w:t>Toimittajan tulee nimetä tarjouksessaan myös sopimusvastuuhenkilö.</w:t>
      </w:r>
    </w:p>
    <w:p w:rsidR="004F7922" w:rsidRDefault="00CD55D5" w:rsidP="00CD543A">
      <w:r>
        <w:lastRenderedPageBreak/>
        <w:t>Tarjouksessa tulee nimetä toimeksiannon suor</w:t>
      </w:r>
      <w:r w:rsidR="00BB3899">
        <w:t xml:space="preserve">ittamiseen osallistuva </w:t>
      </w:r>
      <w:r w:rsidR="00CC615A">
        <w:t>projektipäällikkö</w:t>
      </w:r>
      <w:r w:rsidR="00BB3899">
        <w:t>.</w:t>
      </w:r>
      <w:r w:rsidR="004F7922">
        <w:t xml:space="preserve"> </w:t>
      </w:r>
      <w:r w:rsidR="00CD543A">
        <w:t>N</w:t>
      </w:r>
      <w:r w:rsidR="00BB3899">
        <w:t>imetty</w:t>
      </w:r>
      <w:r w:rsidR="00CD543A">
        <w:t>ä</w:t>
      </w:r>
      <w:r w:rsidRPr="001234CA">
        <w:t xml:space="preserve"> </w:t>
      </w:r>
      <w:r w:rsidR="00BB3899">
        <w:t xml:space="preserve">projektipäällikköä ei saa vaihtaa toimeksiannon aikana ilman </w:t>
      </w:r>
      <w:r>
        <w:t>hankintayksikön</w:t>
      </w:r>
      <w:r w:rsidRPr="001234CA">
        <w:t xml:space="preserve"> kirjallista suostumusta.</w:t>
      </w:r>
      <w:r w:rsidR="00BB3899">
        <w:t xml:space="preserve"> Projektipäällikölle tulee esittää varahenkilö.</w:t>
      </w:r>
      <w:r w:rsidR="00BB3899" w:rsidRPr="00BB3899">
        <w:t xml:space="preserve"> </w:t>
      </w:r>
      <w:r w:rsidR="004F7922">
        <w:t>Projektipäällikön osalta arviointia varten toimitettavat asiakirjat on esitetty liitteessä 4.</w:t>
      </w:r>
    </w:p>
    <w:p w:rsidR="00CD543A" w:rsidRDefault="00BB3899" w:rsidP="00CD543A">
      <w:r>
        <w:t>Varahenkilö on ensisijainen korvaava henkilö projektipäällikköä vaihdettaessa.</w:t>
      </w:r>
      <w:r w:rsidR="009B2F94">
        <w:t xml:space="preserve"> </w:t>
      </w:r>
      <w:r w:rsidR="00CD543A">
        <w:t>Esitettävän varahenkilön tulee täyttää samat vähimmäisvaatimukset, jotka on esitetty henkilölle, jota varahenkilö tarvittaessa korvaa. Jos nimettyyn henkilöön liittyviä ominaisuuksia käytetään tarjousten arviointiperusteena, tulee varahenkilön olla liittee</w:t>
      </w:r>
      <w:r w:rsidR="00223AE0">
        <w:t xml:space="preserve">n </w:t>
      </w:r>
      <w:r w:rsidR="00502B3C">
        <w:t>5</w:t>
      </w:r>
      <w:r w:rsidR="00CD543A">
        <w:t xml:space="preserve"> ”Arviointiperusteet” mukaisesti arvioitaessa vähintään samaa tasoa. Varahenkilön ei tarvitse olla osa esitettyä projektihenkilöstöä. Nimettyä henkilöä ei saa korvata varahenkilöllä toimeksiannon aikana ilman </w:t>
      </w:r>
      <w:r w:rsidR="00D648DC">
        <w:t>hankintayksikön</w:t>
      </w:r>
      <w:r w:rsidR="00CD543A">
        <w:t xml:space="preserve"> kirjallista suostumusta.</w:t>
      </w:r>
    </w:p>
    <w:p w:rsidR="008D2A5E" w:rsidRDefault="008D2A5E" w:rsidP="008D2A5E">
      <w:pPr>
        <w:pStyle w:val="Otsikko2"/>
      </w:pPr>
      <w:r>
        <w:t>Tarjousten julkisuus</w:t>
      </w:r>
    </w:p>
    <w:p w:rsidR="0061519D" w:rsidRDefault="0061519D" w:rsidP="0061519D">
      <w:r>
        <w:t>Hankintayksikön asiakirjojen julkisuuteen ja asianosaisten tiedonsaantioikeuteen sovelletaan viranomaisten julkisuudesta annettua lakia (621/1999).</w:t>
      </w:r>
    </w:p>
    <w:p w:rsidR="0061519D" w:rsidRPr="0025750D" w:rsidRDefault="0061519D" w:rsidP="0061519D">
      <w:r w:rsidRPr="000F38E2">
        <w:t xml:space="preserve">Hankintapäätös ja sen liitteet ovat julkisia päätöksen allekirjoituksen jälkeen. Muut hankinta-asiakirjat ovat julkisia sopimuksen tekemisen jälkeen. Jos tarjoajan mielestä jokin osa tarjousta sisältää liikesalaisuuksia on tarjoajan </w:t>
      </w:r>
      <w:r>
        <w:t xml:space="preserve">merkittävä nämä tiedot kilpailutusjärjestelmässä salaisiksi. </w:t>
      </w:r>
      <w:r w:rsidRPr="000F38E2">
        <w:t xml:space="preserve"> </w:t>
      </w:r>
      <w:r w:rsidR="00553467">
        <w:t>Hankintayksikkö</w:t>
      </w:r>
      <w:r w:rsidRPr="000F38E2">
        <w:t xml:space="preserve"> harkitsee, ovatko liikesalaisuuksiksi esitetyt asiat lain mukaan salassa pidettäviä.</w:t>
      </w:r>
      <w:r>
        <w:t xml:space="preserve"> </w:t>
      </w:r>
      <w:r w:rsidR="00943D4B" w:rsidRPr="00943D4B">
        <w:t>Julkisuuslain mukaisesti tieto tarjouksen vertailusta käytetystä kokonaishinnasta ei ole liikesalaisuutena pidettävä asia.</w:t>
      </w:r>
    </w:p>
    <w:p w:rsidR="00A71ED8" w:rsidRDefault="00A71ED8" w:rsidP="00A71ED8">
      <w:pPr>
        <w:pStyle w:val="Otsikko2"/>
      </w:pPr>
      <w:r>
        <w:t>Alikonsulttien käyttäminen</w:t>
      </w:r>
    </w:p>
    <w:p w:rsidR="000E343C" w:rsidRDefault="003B0C9B" w:rsidP="00195C6F">
      <w:r>
        <w:t xml:space="preserve">Hankintasopimuksen toteuttamisessa on mahdollista käyttää alikonsultteja, jotka täydentävät toimittajan omia resursseja. </w:t>
      </w:r>
    </w:p>
    <w:p w:rsidR="003B0C9B" w:rsidRPr="00195C6F" w:rsidRDefault="000E343C" w:rsidP="00195C6F">
      <w:pPr>
        <w:rPr>
          <w:lang w:eastAsia="fi-FI"/>
        </w:rPr>
      </w:pPr>
      <w:r>
        <w:t>Nimettävän projektipäällikön tehtäviä ei voida siirtää alihankintana toisaalle. Muita</w:t>
      </w:r>
      <w:r w:rsidR="00531390">
        <w:t xml:space="preserve"> tehtäviä</w:t>
      </w:r>
      <w:r w:rsidR="00195C6F">
        <w:rPr>
          <w:lang w:eastAsia="fi-FI"/>
        </w:rPr>
        <w:t>, jotka toimittajan on hoidettava omin resurssein ja joita ei voida s</w:t>
      </w:r>
      <w:r w:rsidR="00531390">
        <w:rPr>
          <w:lang w:eastAsia="fi-FI"/>
        </w:rPr>
        <w:t>iirtää alihankintana toisaalle, tullaan tarkentamaan neuvottelujen aikana.</w:t>
      </w:r>
    </w:p>
    <w:p w:rsidR="003B0C9B" w:rsidRDefault="003B0C9B" w:rsidP="003B0C9B">
      <w:r>
        <w:t>Käytettävät alikonsultit tulee hyväksyttää ennen</w:t>
      </w:r>
      <w:r w:rsidRPr="00C11907">
        <w:t xml:space="preserve"> alikonsultin työn alkamista. </w:t>
      </w:r>
      <w:r>
        <w:t xml:space="preserve">Alihankkijoiden ilmoittaminen ei rajoita pääasiallisen tarjoajan vastuuta hankinnan toteuttamisesta. </w:t>
      </w:r>
    </w:p>
    <w:p w:rsidR="003B0C9B" w:rsidRPr="003A2E77" w:rsidRDefault="003B0C9B" w:rsidP="003B0C9B">
      <w:r w:rsidRPr="003A2E77">
        <w:t>Hankintayksiköllä on oikeus vaatia toimittajaa korvaamaan ja toimittajalla velvollisuus korvata alikonsultti toisella alikonsultilla, jos toimittajan esittämää alikonsulttia rasittaa jokin hankintalain 80 §:ssä tarkoitettu pakollinen poissulkemisperuste tai 81 §:ssä tarkoitettu harkinnanvarainen poissulkemisperuste.</w:t>
      </w:r>
    </w:p>
    <w:p w:rsidR="003B0C9B" w:rsidRPr="00CF7A7E" w:rsidRDefault="003B0C9B" w:rsidP="003B0C9B">
      <w:pPr>
        <w:rPr>
          <w:color w:val="ED7D31" w:themeColor="accent2"/>
        </w:rPr>
      </w:pPr>
      <w:r w:rsidRPr="00D55785">
        <w:t xml:space="preserve">Mahdollisten alikonsulttien </w:t>
      </w:r>
      <w:r w:rsidRPr="00A82D33">
        <w:t xml:space="preserve">palkkioiden tulee sisältyä toimittajan tarjoukseen ja niiden laskutus tapahtuu pääasiallisen toimittajan kautta. Alikonsulttien </w:t>
      </w:r>
      <w:r w:rsidR="00EC77C5" w:rsidRPr="00A82D33">
        <w:t>työn tulee sisältyä tarjoushintaan. Alikonsultin suorittamista töistä ei makseta erillistä l</w:t>
      </w:r>
      <w:r w:rsidRPr="00A82D33">
        <w:t xml:space="preserve">askutuslisää eikä alihankintana tehtyyn työhön lisätä katetta. </w:t>
      </w:r>
    </w:p>
    <w:p w:rsidR="003D20A2" w:rsidRDefault="003D20A2" w:rsidP="003D20A2">
      <w:pPr>
        <w:pStyle w:val="Otsikko2"/>
      </w:pPr>
      <w:r>
        <w:t>Tarjouksen jättäminen</w:t>
      </w:r>
    </w:p>
    <w:p w:rsidR="0015272A" w:rsidRDefault="0015272A" w:rsidP="0015272A">
      <w:r>
        <w:t xml:space="preserve">Tarjous </w:t>
      </w:r>
      <w:r w:rsidR="008E3420">
        <w:t xml:space="preserve">tulee jättää hankintayksikön sähköisessä </w:t>
      </w:r>
      <w:r w:rsidR="002D1EE8" w:rsidRPr="002D1EE8">
        <w:t xml:space="preserve">kilpailutusjärjestelmässä </w:t>
      </w:r>
      <w:r w:rsidR="008E3420">
        <w:t>osoitteessa www.kuntalankilpailuttamisportaali.fi</w:t>
      </w:r>
      <w:r w:rsidR="00746BFB">
        <w:t>.</w:t>
      </w:r>
      <w:r w:rsidR="008E3420">
        <w:t xml:space="preserve"> Tarjous jätetään </w:t>
      </w:r>
      <w:r w:rsidR="002D1EE8" w:rsidRPr="002D1EE8">
        <w:t xml:space="preserve">kilpailutusjärjestelmässä </w:t>
      </w:r>
      <w:r w:rsidR="008E3420">
        <w:lastRenderedPageBreak/>
        <w:t xml:space="preserve">lomakepohjaisesti ja pyydetyin liiteasiakirjoin. </w:t>
      </w:r>
      <w:r w:rsidR="008668A1">
        <w:t>Tarjousten jättäminen ei ole mahdollista tarjousajan päättymisen jälkeen.</w:t>
      </w:r>
    </w:p>
    <w:p w:rsidR="00746BFB" w:rsidRDefault="008668A1" w:rsidP="008933F4">
      <w:pPr>
        <w:rPr>
          <w:rFonts w:ascii="Times New Roman" w:hAnsi="Times New Roman" w:cs="Times New Roman"/>
          <w:sz w:val="24"/>
          <w:szCs w:val="24"/>
        </w:rPr>
      </w:pPr>
      <w:r w:rsidRPr="000F38E2">
        <w:t xml:space="preserve">Kukin toimittaja on oikeutettu tekemään yhden tarjouksen. </w:t>
      </w:r>
      <w:r>
        <w:t xml:space="preserve">Jos toimittaja tehnyt rinnakkaisia tarjouksia, otetaan vertailuun mukaan ainoastaan viimeisimpänä saapunut tarjous. </w:t>
      </w:r>
      <w:r w:rsidRPr="006E4C84">
        <w:t xml:space="preserve">Sama </w:t>
      </w:r>
      <w:r>
        <w:t>toimittaja</w:t>
      </w:r>
      <w:r w:rsidRPr="006E4C84">
        <w:t xml:space="preserve"> voi toimia alikonsulttina useammassa tarjouksessa</w:t>
      </w:r>
      <w:r>
        <w:rPr>
          <w:rFonts w:ascii="Times New Roman" w:hAnsi="Times New Roman" w:cs="Times New Roman"/>
          <w:sz w:val="24"/>
          <w:szCs w:val="24"/>
        </w:rPr>
        <w:t>.</w:t>
      </w:r>
    </w:p>
    <w:p w:rsidR="00746BFB" w:rsidRPr="008933F4" w:rsidRDefault="00314039" w:rsidP="00746BFB">
      <w:r>
        <w:t>Alustava tarjous tulee jättää pp.</w:t>
      </w:r>
      <w:proofErr w:type="gramStart"/>
      <w:r>
        <w:t>kk.vvvv</w:t>
      </w:r>
      <w:proofErr w:type="gramEnd"/>
      <w:r>
        <w:t xml:space="preserve"> mennessä.</w:t>
      </w:r>
      <w:r w:rsidR="00B370F5">
        <w:t xml:space="preserve"> Lopullisen tarjouksen jättämisen määräaika tarkentuu neuvottelujen päätyttyä lopullisessa tarjouspyynnössä.</w:t>
      </w:r>
    </w:p>
    <w:p w:rsidR="00090E0F" w:rsidRDefault="00090E0F" w:rsidP="00090E0F">
      <w:pPr>
        <w:pStyle w:val="Otsikko1"/>
      </w:pPr>
      <w:bookmarkStart w:id="5" w:name="_Toc469577109"/>
      <w:r>
        <w:t>Tarjousten käsittely</w:t>
      </w:r>
      <w:bookmarkEnd w:id="5"/>
    </w:p>
    <w:p w:rsidR="00090E0F" w:rsidRDefault="00090E0F" w:rsidP="00090E0F">
      <w:r>
        <w:t>Tarjousajan päätyttyä hankintayksikkö käsittelee saapuneet tarjoukset dokumentoidusti. Tarjousten käsittely sisältää seuraavat vaiheet:</w:t>
      </w:r>
    </w:p>
    <w:p w:rsidR="00090E0F" w:rsidRDefault="00090E0F" w:rsidP="00090E0F">
      <w:pPr>
        <w:pStyle w:val="Luettelokappale"/>
        <w:numPr>
          <w:ilvl w:val="0"/>
          <w:numId w:val="8"/>
        </w:numPr>
      </w:pPr>
      <w:r>
        <w:t>Tarjousten avaaminen tarjousajan päätyttyä</w:t>
      </w:r>
    </w:p>
    <w:p w:rsidR="00090E0F" w:rsidRDefault="00090E0F" w:rsidP="00090E0F">
      <w:pPr>
        <w:pStyle w:val="Luettelokappale"/>
        <w:numPr>
          <w:ilvl w:val="0"/>
          <w:numId w:val="8"/>
        </w:numPr>
      </w:pPr>
      <w:r>
        <w:t>Tarjousten tarjouspyynnönmukaisuuden tarkistaminen</w:t>
      </w:r>
    </w:p>
    <w:p w:rsidR="00090E0F" w:rsidRDefault="00090E0F" w:rsidP="00090E0F">
      <w:pPr>
        <w:pStyle w:val="Luettelokappale"/>
        <w:numPr>
          <w:ilvl w:val="0"/>
          <w:numId w:val="8"/>
        </w:numPr>
      </w:pPr>
      <w:r>
        <w:t>Tarjousten arviointi ja vertailu kohdassa 6.1 esitetyin kokonaistaloudellisen edullisuuden perusteiden mukaisesti.</w:t>
      </w:r>
    </w:p>
    <w:p w:rsidR="00090E0F" w:rsidRPr="00193A6D" w:rsidRDefault="00090E0F" w:rsidP="00090E0F">
      <w:pPr>
        <w:pStyle w:val="Luettelokappale"/>
        <w:numPr>
          <w:ilvl w:val="0"/>
          <w:numId w:val="8"/>
        </w:numPr>
      </w:pPr>
      <w:r>
        <w:t>Poissulkemisen edellytysten ja soveltuvuusvaatimuksen täyt</w:t>
      </w:r>
      <w:r w:rsidR="009165B1">
        <w:t>tymisen selvittäminen valitulta tarjoajalta,</w:t>
      </w:r>
      <w:r>
        <w:t xml:space="preserve"> ellei selvitetty aiemmassa vaiheessa hankintamenettelyä</w:t>
      </w:r>
    </w:p>
    <w:p w:rsidR="00090E0F" w:rsidRDefault="00090E0F" w:rsidP="00090E0F">
      <w:pPr>
        <w:pStyle w:val="Otsikko2"/>
      </w:pPr>
      <w:r>
        <w:t>Kokonaistaloudellisesti edullisimman tarjouksen valinta</w:t>
      </w:r>
    </w:p>
    <w:p w:rsidR="00C82C9C" w:rsidRDefault="00090E0F" w:rsidP="00090E0F">
      <w:r>
        <w:t xml:space="preserve">Kokonaistaloudellisen edullisuuden perusteena käytetään parasta hinta-laatusuhdetta. </w:t>
      </w:r>
      <w:r w:rsidR="00EF02FE">
        <w:t>Vertailuperusteiden suhteellist</w:t>
      </w:r>
      <w:r w:rsidR="00A25726">
        <w:t>en painotus</w:t>
      </w:r>
      <w:r w:rsidR="00EF02FE">
        <w:t>ten vaihteluväli</w:t>
      </w:r>
      <w:r w:rsidR="00A25726">
        <w:t xml:space="preserve"> on seuraava:</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4034"/>
      </w:tblGrid>
      <w:tr w:rsidR="00A25726" w:rsidTr="00813D8A">
        <w:tc>
          <w:tcPr>
            <w:tcW w:w="4508" w:type="dxa"/>
            <w:tcBorders>
              <w:top w:val="single" w:sz="4" w:space="0" w:color="auto"/>
              <w:bottom w:val="single" w:sz="4" w:space="0" w:color="auto"/>
            </w:tcBorders>
            <w:vAlign w:val="center"/>
          </w:tcPr>
          <w:p w:rsidR="00A25726" w:rsidRPr="00A25726" w:rsidRDefault="00A25726" w:rsidP="00813D8A">
            <w:pPr>
              <w:spacing w:before="240"/>
              <w:rPr>
                <w:b/>
              </w:rPr>
            </w:pPr>
            <w:r>
              <w:rPr>
                <w:b/>
              </w:rPr>
              <w:t>Vertailuperuste</w:t>
            </w:r>
          </w:p>
        </w:tc>
        <w:tc>
          <w:tcPr>
            <w:tcW w:w="4508" w:type="dxa"/>
            <w:tcBorders>
              <w:top w:val="single" w:sz="4" w:space="0" w:color="auto"/>
              <w:bottom w:val="single" w:sz="4" w:space="0" w:color="auto"/>
            </w:tcBorders>
            <w:vAlign w:val="center"/>
          </w:tcPr>
          <w:p w:rsidR="00A25726" w:rsidRPr="00A25726" w:rsidRDefault="00A25726" w:rsidP="00813D8A">
            <w:pPr>
              <w:spacing w:before="240"/>
              <w:rPr>
                <w:b/>
              </w:rPr>
            </w:pPr>
            <w:r>
              <w:rPr>
                <w:b/>
              </w:rPr>
              <w:t>Painotus</w:t>
            </w:r>
          </w:p>
        </w:tc>
      </w:tr>
      <w:tr w:rsidR="00A25726" w:rsidTr="001F0DDC">
        <w:tc>
          <w:tcPr>
            <w:tcW w:w="4508" w:type="dxa"/>
            <w:tcBorders>
              <w:top w:val="single" w:sz="4" w:space="0" w:color="auto"/>
            </w:tcBorders>
            <w:vAlign w:val="center"/>
          </w:tcPr>
          <w:p w:rsidR="00A25726" w:rsidRDefault="00A25726" w:rsidP="00813D8A">
            <w:pPr>
              <w:spacing w:before="240"/>
            </w:pPr>
            <w:r>
              <w:t>Kokonaishinta</w:t>
            </w:r>
          </w:p>
        </w:tc>
        <w:tc>
          <w:tcPr>
            <w:tcW w:w="4508" w:type="dxa"/>
            <w:tcBorders>
              <w:top w:val="single" w:sz="4" w:space="0" w:color="auto"/>
            </w:tcBorders>
            <w:vAlign w:val="center"/>
          </w:tcPr>
          <w:p w:rsidR="00A25726" w:rsidRPr="00F01CD9" w:rsidRDefault="00135C4C" w:rsidP="00813D8A">
            <w:pPr>
              <w:spacing w:before="240"/>
              <w:rPr>
                <w:color w:val="538135" w:themeColor="accent6" w:themeShade="BF"/>
              </w:rPr>
            </w:pPr>
            <w:r w:rsidRPr="00F01CD9">
              <w:rPr>
                <w:color w:val="538135" w:themeColor="accent6" w:themeShade="BF"/>
              </w:rPr>
              <w:t>25-35</w:t>
            </w:r>
            <w:r w:rsidR="00A25726" w:rsidRPr="00F01CD9">
              <w:rPr>
                <w:color w:val="538135" w:themeColor="accent6" w:themeShade="BF"/>
              </w:rPr>
              <w:t xml:space="preserve"> %</w:t>
            </w:r>
          </w:p>
        </w:tc>
      </w:tr>
      <w:tr w:rsidR="001F0DDC" w:rsidTr="001F0DDC">
        <w:tc>
          <w:tcPr>
            <w:tcW w:w="4508" w:type="dxa"/>
            <w:vAlign w:val="center"/>
          </w:tcPr>
          <w:p w:rsidR="001F0DDC" w:rsidRDefault="00755CE8" w:rsidP="0077206C">
            <w:pPr>
              <w:spacing w:before="240"/>
            </w:pPr>
            <w:r>
              <w:t>Projektisuunnitelman osa-alue: tunnistetut riskit ja mahdollisuudet</w:t>
            </w:r>
          </w:p>
        </w:tc>
        <w:tc>
          <w:tcPr>
            <w:tcW w:w="4508" w:type="dxa"/>
            <w:vAlign w:val="center"/>
          </w:tcPr>
          <w:p w:rsidR="001F0DDC" w:rsidRPr="00F01CD9" w:rsidRDefault="00135C4C" w:rsidP="00813D8A">
            <w:pPr>
              <w:spacing w:before="240"/>
              <w:rPr>
                <w:color w:val="538135" w:themeColor="accent6" w:themeShade="BF"/>
              </w:rPr>
            </w:pPr>
            <w:r w:rsidRPr="00F01CD9">
              <w:rPr>
                <w:color w:val="538135" w:themeColor="accent6" w:themeShade="BF"/>
              </w:rPr>
              <w:t>35-45</w:t>
            </w:r>
            <w:r w:rsidR="001F0DDC" w:rsidRPr="00F01CD9">
              <w:rPr>
                <w:color w:val="538135" w:themeColor="accent6" w:themeShade="BF"/>
              </w:rPr>
              <w:t xml:space="preserve"> %</w:t>
            </w:r>
          </w:p>
        </w:tc>
      </w:tr>
      <w:tr w:rsidR="00A25726" w:rsidTr="00813D8A">
        <w:tc>
          <w:tcPr>
            <w:tcW w:w="4508" w:type="dxa"/>
            <w:vAlign w:val="center"/>
          </w:tcPr>
          <w:p w:rsidR="00A25726" w:rsidRDefault="00755CE8" w:rsidP="00755CE8">
            <w:pPr>
              <w:spacing w:before="240"/>
            </w:pPr>
            <w:r>
              <w:t>Projektisuunnitelman osa-alue: alustava suunnitelma työn organisoinnista</w:t>
            </w:r>
          </w:p>
        </w:tc>
        <w:tc>
          <w:tcPr>
            <w:tcW w:w="4508" w:type="dxa"/>
            <w:vAlign w:val="center"/>
          </w:tcPr>
          <w:p w:rsidR="00A25726" w:rsidRPr="00F01CD9" w:rsidRDefault="00135C4C" w:rsidP="00F13D08">
            <w:pPr>
              <w:spacing w:before="240"/>
              <w:rPr>
                <w:color w:val="538135" w:themeColor="accent6" w:themeShade="BF"/>
              </w:rPr>
            </w:pPr>
            <w:r w:rsidRPr="00F01CD9">
              <w:rPr>
                <w:color w:val="538135" w:themeColor="accent6" w:themeShade="BF"/>
              </w:rPr>
              <w:t>5-15</w:t>
            </w:r>
            <w:r w:rsidR="00A25726" w:rsidRPr="00F01CD9">
              <w:rPr>
                <w:color w:val="538135" w:themeColor="accent6" w:themeShade="BF"/>
              </w:rPr>
              <w:t xml:space="preserve"> %</w:t>
            </w:r>
          </w:p>
        </w:tc>
      </w:tr>
      <w:tr w:rsidR="00A25726" w:rsidTr="00813D8A">
        <w:tc>
          <w:tcPr>
            <w:tcW w:w="4508" w:type="dxa"/>
            <w:vAlign w:val="center"/>
          </w:tcPr>
          <w:p w:rsidR="00A25726" w:rsidRDefault="00755CE8" w:rsidP="00813D8A">
            <w:pPr>
              <w:spacing w:before="240"/>
            </w:pPr>
            <w:r>
              <w:t>Nimetyn projektipäällikön</w:t>
            </w:r>
            <w:r w:rsidR="00A25726">
              <w:t xml:space="preserve"> kokemus, koulutus ja referenssit</w:t>
            </w:r>
          </w:p>
        </w:tc>
        <w:tc>
          <w:tcPr>
            <w:tcW w:w="4508" w:type="dxa"/>
            <w:vAlign w:val="center"/>
          </w:tcPr>
          <w:p w:rsidR="00A25726" w:rsidRPr="00F01CD9" w:rsidRDefault="00135C4C" w:rsidP="00813D8A">
            <w:pPr>
              <w:spacing w:before="240"/>
              <w:rPr>
                <w:color w:val="538135" w:themeColor="accent6" w:themeShade="BF"/>
              </w:rPr>
            </w:pPr>
            <w:r w:rsidRPr="00F01CD9">
              <w:rPr>
                <w:color w:val="538135" w:themeColor="accent6" w:themeShade="BF"/>
              </w:rPr>
              <w:t>5-15</w:t>
            </w:r>
            <w:r w:rsidR="00A25726" w:rsidRPr="00F01CD9">
              <w:rPr>
                <w:color w:val="538135" w:themeColor="accent6" w:themeShade="BF"/>
              </w:rPr>
              <w:t xml:space="preserve"> %</w:t>
            </w:r>
          </w:p>
        </w:tc>
      </w:tr>
      <w:tr w:rsidR="00467057" w:rsidTr="00813D8A">
        <w:tc>
          <w:tcPr>
            <w:tcW w:w="4508" w:type="dxa"/>
            <w:tcBorders>
              <w:bottom w:val="single" w:sz="4" w:space="0" w:color="auto"/>
            </w:tcBorders>
            <w:vAlign w:val="center"/>
          </w:tcPr>
          <w:p w:rsidR="00467057" w:rsidRDefault="00755CE8" w:rsidP="00813D8A">
            <w:pPr>
              <w:spacing w:before="240"/>
            </w:pPr>
            <w:r>
              <w:t>Yrityksen tai ryhmittymän henkilöresurssit</w:t>
            </w:r>
          </w:p>
        </w:tc>
        <w:tc>
          <w:tcPr>
            <w:tcW w:w="4508" w:type="dxa"/>
            <w:tcBorders>
              <w:bottom w:val="single" w:sz="4" w:space="0" w:color="auto"/>
            </w:tcBorders>
            <w:vAlign w:val="center"/>
          </w:tcPr>
          <w:p w:rsidR="00467057" w:rsidRPr="00F01CD9" w:rsidRDefault="00135C4C" w:rsidP="00813D8A">
            <w:pPr>
              <w:spacing w:before="240"/>
              <w:rPr>
                <w:color w:val="538135" w:themeColor="accent6" w:themeShade="BF"/>
              </w:rPr>
            </w:pPr>
            <w:r w:rsidRPr="00F01CD9">
              <w:rPr>
                <w:color w:val="538135" w:themeColor="accent6" w:themeShade="BF"/>
              </w:rPr>
              <w:t>5-15</w:t>
            </w:r>
            <w:r w:rsidR="00467057" w:rsidRPr="00F01CD9">
              <w:rPr>
                <w:color w:val="538135" w:themeColor="accent6" w:themeShade="BF"/>
              </w:rPr>
              <w:t xml:space="preserve"> %</w:t>
            </w:r>
          </w:p>
        </w:tc>
      </w:tr>
    </w:tbl>
    <w:p w:rsidR="00EF02FE" w:rsidRDefault="00EF02FE" w:rsidP="003B0C9B">
      <w:pPr>
        <w:spacing w:before="240"/>
      </w:pPr>
      <w:r>
        <w:t>Vaihteluväli tullaan tarkentamaan lopulliseen tarjouspyyntöön.</w:t>
      </w:r>
    </w:p>
    <w:p w:rsidR="00090E0F" w:rsidRDefault="00961EA2" w:rsidP="003B0C9B">
      <w:pPr>
        <w:spacing w:before="240"/>
      </w:pPr>
      <w:r>
        <w:t>Parh</w:t>
      </w:r>
      <w:r w:rsidR="00A25726">
        <w:t>aan hinta-laatu suhteen tarkemmat arvioint</w:t>
      </w:r>
      <w:r>
        <w:t>i</w:t>
      </w:r>
      <w:r w:rsidR="00A25726">
        <w:t>periaatteet</w:t>
      </w:r>
      <w:r w:rsidR="00C96A43">
        <w:t xml:space="preserve"> on esitetty liitteessä 5</w:t>
      </w:r>
      <w:r w:rsidR="00A25726">
        <w:t xml:space="preserve"> ”Arviointiperusteet”</w:t>
      </w:r>
      <w:r w:rsidR="003B0C9B">
        <w:t>.</w:t>
      </w:r>
      <w:r w:rsidR="003B0C9B" w:rsidRPr="003B0C9B">
        <w:t xml:space="preserve"> </w:t>
      </w:r>
      <w:r w:rsidR="003B0C9B">
        <w:t>Arviointia varten toimitettavat asi</w:t>
      </w:r>
      <w:r w:rsidR="00301241">
        <w:t xml:space="preserve">akirjat on esitetty liitteessä </w:t>
      </w:r>
      <w:r w:rsidR="00C96A43">
        <w:t>4</w:t>
      </w:r>
      <w:r w:rsidR="003B0C9B">
        <w:t xml:space="preserve"> </w:t>
      </w:r>
      <w:r w:rsidR="003B0C9B">
        <w:rPr>
          <w:lang w:eastAsia="fi-FI"/>
        </w:rPr>
        <w:t>”Luettelo tarjoukseen liitettävistä asiakirjoista ja soveltuvuusvaatimusten täyttymisen osoittamiseksi toimitettavista asiakirjoista”.</w:t>
      </w:r>
    </w:p>
    <w:p w:rsidR="00090E0F" w:rsidRDefault="00090E0F" w:rsidP="00090E0F">
      <w:pPr>
        <w:pStyle w:val="Otsikko2"/>
      </w:pPr>
      <w:r>
        <w:lastRenderedPageBreak/>
        <w:t>Tarjousten hylkääminen</w:t>
      </w:r>
    </w:p>
    <w:p w:rsidR="00422880" w:rsidRDefault="00422880" w:rsidP="00422880">
      <w:r>
        <w:t xml:space="preserve">Tarjous voidaan sulkea pois tarjouskilpailusta, mikäli se ei ole </w:t>
      </w:r>
      <w:r w:rsidR="00605CA6">
        <w:t>lopullisen</w:t>
      </w:r>
      <w:r>
        <w:t xml:space="preserve"> tarjouspyynnön mukainen. Hankintayksikkö on velvollinen hylkäämään tarjouksen tarjouspyynnön vastaisena</w:t>
      </w:r>
      <w:r w:rsidR="002D68DF">
        <w:t>,</w:t>
      </w:r>
      <w:r>
        <w:t xml:space="preserve"> jos tarjouksessa on sellainen virhe tai puute, joka estää tarjouksen tasapuolisen vertailun muiden tarjouspyynnön mukaisten tarjousten kanssa.</w:t>
      </w:r>
    </w:p>
    <w:p w:rsidR="00422880" w:rsidRPr="00090E0F" w:rsidRDefault="00422880" w:rsidP="00422880">
      <w:r w:rsidRPr="000F38E2">
        <w:t>Tarjouksen hylkääminen voi perustua myös suoraan lainsäädännöstä tai oikeuskäytännöstä ilmeneviin sellaisiin seikkoihin, joita ei ole erikseen esitetty tässä tarjouspyynnössä.</w:t>
      </w:r>
    </w:p>
    <w:p w:rsidR="00C07C81" w:rsidRDefault="00C07C81" w:rsidP="00C07C81">
      <w:pPr>
        <w:pStyle w:val="Otsikko1"/>
      </w:pPr>
      <w:bookmarkStart w:id="6" w:name="_Toc469577110"/>
      <w:r>
        <w:t>Sopimus</w:t>
      </w:r>
      <w:r w:rsidR="00BB668E">
        <w:t>ehdot</w:t>
      </w:r>
      <w:bookmarkEnd w:id="6"/>
    </w:p>
    <w:p w:rsidR="00BC7E29" w:rsidRPr="00BC7E29" w:rsidRDefault="00BC7E29" w:rsidP="00BC7E29">
      <w:pPr>
        <w:rPr>
          <w:color w:val="538135" w:themeColor="accent6" w:themeShade="BF"/>
        </w:rPr>
      </w:pPr>
      <w:r w:rsidRPr="00BC7E29">
        <w:rPr>
          <w:color w:val="538135" w:themeColor="accent6" w:themeShade="BF"/>
        </w:rPr>
        <w:t xml:space="preserve">(Sopimusehtoihin liittyvät asiat </w:t>
      </w:r>
      <w:proofErr w:type="gramStart"/>
      <w:r w:rsidRPr="00BC7E29">
        <w:rPr>
          <w:color w:val="538135" w:themeColor="accent6" w:themeShade="BF"/>
        </w:rPr>
        <w:t>on</w:t>
      </w:r>
      <w:proofErr w:type="gramEnd"/>
      <w:r w:rsidRPr="00BC7E29">
        <w:rPr>
          <w:color w:val="538135" w:themeColor="accent6" w:themeShade="BF"/>
        </w:rPr>
        <w:t xml:space="preserve"> suositeltavaa esittää vain yhdessä asiakirjassa ristiriitojen välttämiseksi. Tässä esimerkissä joitain sopimusehtoja on esitetty esimerkinomaisesti tarjouspyyntöön </w:t>
      </w:r>
      <w:proofErr w:type="gramStart"/>
      <w:r w:rsidRPr="00BC7E29">
        <w:rPr>
          <w:color w:val="538135" w:themeColor="accent6" w:themeShade="BF"/>
        </w:rPr>
        <w:t>kirjattuina</w:t>
      </w:r>
      <w:proofErr w:type="gramEnd"/>
      <w:r w:rsidRPr="00BC7E29">
        <w:rPr>
          <w:color w:val="538135" w:themeColor="accent6" w:themeShade="BF"/>
        </w:rPr>
        <w:t xml:space="preserve"> vaikka tarjouspyynnön liitteeksi on merkitty ”Konsulttisopimuksen luonnos”.)</w:t>
      </w:r>
    </w:p>
    <w:p w:rsidR="00BB668E" w:rsidRDefault="00BB668E" w:rsidP="00BB668E">
      <w:pPr>
        <w:pStyle w:val="Otsikko2"/>
      </w:pPr>
      <w:r>
        <w:t>Sopimus</w:t>
      </w:r>
    </w:p>
    <w:p w:rsidR="00BB668E" w:rsidRDefault="00BB668E" w:rsidP="00BB668E">
      <w:r>
        <w:t xml:space="preserve">Ennen sopimuksen allekirjoitusta </w:t>
      </w:r>
      <w:r w:rsidR="000423A8">
        <w:t>valitun toimittajan kanssa</w:t>
      </w:r>
      <w:r>
        <w:t xml:space="preserve"> </w:t>
      </w:r>
      <w:r w:rsidR="00B01A05">
        <w:t xml:space="preserve">pidetään </w:t>
      </w:r>
      <w:r>
        <w:t>sopimuskatselmus, jossa käydään läpi ja tarkennetaan tarjoukseen, toimeksiannon suorittamiseen, aikatauluun ja vastuisiin liittyvät asiat.</w:t>
      </w:r>
    </w:p>
    <w:p w:rsidR="00BB668E" w:rsidRDefault="001601A2" w:rsidP="00BB668E">
      <w:r>
        <w:t>Innovaatiokumppanuutta koskien laaditaan</w:t>
      </w:r>
      <w:r w:rsidR="00BB668E">
        <w:t xml:space="preserve"> erillinen konsulttisopimus (</w:t>
      </w:r>
      <w:r w:rsidR="00CE3054">
        <w:t>l</w:t>
      </w:r>
      <w:r w:rsidR="00C06048">
        <w:t xml:space="preserve">iite </w:t>
      </w:r>
      <w:r w:rsidR="00F46B27">
        <w:t>6</w:t>
      </w:r>
      <w:r w:rsidR="00BB668E">
        <w:t xml:space="preserve">) noudattaen Konsulttitoiminnan yleisiä sopimusehtoja KSE 2013 (RT 13–11143). Sopimukseen liitetään </w:t>
      </w:r>
      <w:r w:rsidR="00FD52FD">
        <w:t>lopullinen</w:t>
      </w:r>
      <w:r w:rsidR="00BB668E">
        <w:t xml:space="preserve"> tarjouspyyntö </w:t>
      </w:r>
      <w:r w:rsidR="00C06048">
        <w:t xml:space="preserve">liitteineen </w:t>
      </w:r>
      <w:r w:rsidR="00BB668E">
        <w:t>sekä tarjous liitteineen. Sopimuksentekovaiheessa sopimukseen</w:t>
      </w:r>
      <w:r w:rsidR="006F40EB">
        <w:t xml:space="preserve"> voidaan tehdä</w:t>
      </w:r>
      <w:r w:rsidR="00BB668E">
        <w:t xml:space="preserve"> vain sellaisia kirjauksia, jotka eivät muuta hankinnan kokonaistalou</w:t>
      </w:r>
      <w:r w:rsidR="00C444C6">
        <w:t>dellista edullisuutta.</w:t>
      </w:r>
    </w:p>
    <w:p w:rsidR="00C444C6" w:rsidRPr="00BB668E" w:rsidRDefault="00C444C6" w:rsidP="00BB668E">
      <w:r>
        <w:t>Teollis- ja tekijänoikeusjärjestelyt on kuvattu liitteessä 6 ”Konsulttisopimuksen luonnos”.</w:t>
      </w:r>
    </w:p>
    <w:p w:rsidR="00C07C81" w:rsidRDefault="00C07C81" w:rsidP="00C07C81">
      <w:r>
        <w:t>Toimeksiannossa noudatetaan seuraavia sopimusasiakirjoja seuraavassa järjestyksessä Konsulttitoiminnan yleisten sopimusehtojen KSE</w:t>
      </w:r>
      <w:r w:rsidR="00BB668E">
        <w:t xml:space="preserve"> </w:t>
      </w:r>
      <w:r>
        <w:t>2013 kohdan 9.1 mukaisesti:</w:t>
      </w:r>
    </w:p>
    <w:p w:rsidR="00CA4F8B" w:rsidRDefault="00CA4F8B" w:rsidP="00CA4F8B">
      <w:pPr>
        <w:pStyle w:val="Luettelokappale"/>
        <w:numPr>
          <w:ilvl w:val="0"/>
          <w:numId w:val="4"/>
        </w:numPr>
      </w:pPr>
      <w:r>
        <w:t>Konsulttisopimus</w:t>
      </w:r>
    </w:p>
    <w:p w:rsidR="00CA4F8B" w:rsidRPr="00B651D5" w:rsidRDefault="00CA4F8B" w:rsidP="00CA4F8B">
      <w:pPr>
        <w:pStyle w:val="Luettelokappale"/>
        <w:numPr>
          <w:ilvl w:val="1"/>
          <w:numId w:val="4"/>
        </w:numPr>
      </w:pPr>
      <w:r w:rsidRPr="00B651D5">
        <w:t>Sopimuskatselmuksen pöytäkirja</w:t>
      </w:r>
    </w:p>
    <w:p w:rsidR="00CA4F8B" w:rsidRDefault="00CA4F8B" w:rsidP="00CA4F8B">
      <w:pPr>
        <w:pStyle w:val="Luettelokappale"/>
        <w:numPr>
          <w:ilvl w:val="1"/>
          <w:numId w:val="4"/>
        </w:numPr>
      </w:pPr>
      <w:r>
        <w:t>Maksuerätaulukko ja tuntiveloitushinnasto</w:t>
      </w:r>
    </w:p>
    <w:p w:rsidR="00CA4F8B" w:rsidRDefault="00CA4F8B" w:rsidP="00CA4F8B">
      <w:pPr>
        <w:pStyle w:val="Luettelokappale"/>
        <w:numPr>
          <w:ilvl w:val="0"/>
          <w:numId w:val="4"/>
        </w:numPr>
      </w:pPr>
      <w:r>
        <w:t>Tarjouspyyntö liitteineen</w:t>
      </w:r>
    </w:p>
    <w:p w:rsidR="00CA4F8B" w:rsidRDefault="00CA4F8B" w:rsidP="00CA4F8B">
      <w:pPr>
        <w:pStyle w:val="Luettelokappale"/>
        <w:numPr>
          <w:ilvl w:val="0"/>
          <w:numId w:val="4"/>
        </w:numPr>
      </w:pPr>
      <w:r>
        <w:t>Konsulttitoiminnan yleiset sopimusehdot KSE 2013</w:t>
      </w:r>
    </w:p>
    <w:p w:rsidR="00D13C0E" w:rsidRDefault="00CA4F8B" w:rsidP="00142C92">
      <w:pPr>
        <w:pStyle w:val="Luettelokappale"/>
        <w:numPr>
          <w:ilvl w:val="0"/>
          <w:numId w:val="4"/>
        </w:numPr>
      </w:pPr>
      <w:r>
        <w:t>Tarjous liitteineen</w:t>
      </w:r>
    </w:p>
    <w:p w:rsidR="00D13C0E" w:rsidRDefault="00D13C0E" w:rsidP="00D13C0E">
      <w:r>
        <w:t>Ennen sopimuksen tekemistä valitun toimittajan tulee osoittaa lainmukaisin todistuksin ja selvityksin, että se täyttää tilaajavastuulain mukaiset vaatimukset.</w:t>
      </w:r>
    </w:p>
    <w:p w:rsidR="00142C92" w:rsidRDefault="00142C92" w:rsidP="00142C92">
      <w:r>
        <w:t>Sopimus syntyy vasta sopimuksen allekirjoittamisella.</w:t>
      </w:r>
    </w:p>
    <w:p w:rsidR="00214FE4" w:rsidRDefault="00214FE4" w:rsidP="00142C92">
      <w:r>
        <w:t>Tämän hankintamenettelyn perusteella syntyvä sopimus koskee innovaatiokumppanuuden kehitysvaihetta ja se sisältää option kehitystyön tuloksiin perustuvan toimeksiannon hankintaan tässä tarjouspyynnössä kuvatulla tavalla (liite 6 ”</w:t>
      </w:r>
      <w:r w:rsidR="00C444C6">
        <w:t>Konsulttisopimuksen luonnos</w:t>
      </w:r>
      <w:r>
        <w:t>” mukaisesti).</w:t>
      </w:r>
    </w:p>
    <w:p w:rsidR="009C5D82" w:rsidRPr="000E36AC" w:rsidRDefault="009C5D82" w:rsidP="009C5D82">
      <w:pPr>
        <w:pStyle w:val="Otsikko2"/>
      </w:pPr>
      <w:r w:rsidRPr="000E36AC">
        <w:lastRenderedPageBreak/>
        <w:t>Veloitusperusteet</w:t>
      </w:r>
    </w:p>
    <w:p w:rsidR="00C57C94" w:rsidRDefault="00A276EB" w:rsidP="00C57C94">
      <w:r>
        <w:t>Kehitysvaiheen</w:t>
      </w:r>
      <w:r w:rsidR="00C57C94" w:rsidRPr="00A40A5C">
        <w:t xml:space="preserve"> veloitusperusteena käytetään KSE 2013 kohdassa 5.2.3 tarkoitettua aikapalkkiota henkilöryhmittäin. Hintatarjouksessa tulee ilmoittaa euroina ilman arvonlisäveroa henkilöryhmien aikapalkkiot SKOL-luokituksen mukaisesti.</w:t>
      </w:r>
    </w:p>
    <w:p w:rsidR="00C57C94" w:rsidRDefault="00C57C94" w:rsidP="00C57C94">
      <w:r>
        <w:t>Toimittaja laskuttaa hankintayksikköä kuukausittain toteumaan perustuen.</w:t>
      </w:r>
    </w:p>
    <w:p w:rsidR="00C57C94" w:rsidRDefault="00377C26" w:rsidP="00C57C94">
      <w:r>
        <w:t>Kumppanuutta koskevassa sopimuksessa t</w:t>
      </w:r>
      <w:r w:rsidR="00C57C94">
        <w:t xml:space="preserve">ilattavalle työlle asetetaan </w:t>
      </w:r>
      <w:r>
        <w:t>neuvotteluihin ja tuntimääräarvioihin perustuva</w:t>
      </w:r>
      <w:r w:rsidR="00C57C94">
        <w:t xml:space="preserve"> kattohinta.</w:t>
      </w:r>
    </w:p>
    <w:p w:rsidR="00F9281A" w:rsidRDefault="00C57C94" w:rsidP="00C57C94">
      <w:r>
        <w:t xml:space="preserve">Tässä tarjouspyynnössä määriteltyyn toimeksiantoon kuulumattomista, mutta liittyvistä muutos- ja lisätöistä sovitaan aina erikseen. Muutos- ja lisätöiden veloitusperusteena käytetään tarjouksessa ilmoitettuja aikapalkkioita henkilöryhmittäin. </w:t>
      </w:r>
      <w:r w:rsidR="005A28E0">
        <w:t xml:space="preserve">Toimeksiannon aikana mahdolliset sopimukseen </w:t>
      </w:r>
      <w:r>
        <w:t>kuulumattomista</w:t>
      </w:r>
      <w:r w:rsidR="006A12E8">
        <w:t xml:space="preserve"> muutos- ja lisätöistä sovitaan aina etukäteen ja ne laskutetaan hintatarjouksessa ilmoitettuihin tun</w:t>
      </w:r>
      <w:r w:rsidR="007536D0">
        <w:t xml:space="preserve">tiveloitushintoihin perustuen. </w:t>
      </w:r>
    </w:p>
    <w:p w:rsidR="001F070D" w:rsidRPr="00221D42" w:rsidRDefault="001F070D" w:rsidP="00C57C94">
      <w:r>
        <w:t>Kehitystyön tuloksiin perustuvan toimeksiannon veloitusperusteet tullaan tarkentamaan myöhemmin hankintamenettelyn aikana.</w:t>
      </w:r>
    </w:p>
    <w:p w:rsidR="00090E0F" w:rsidRDefault="00090E0F" w:rsidP="00090E0F">
      <w:pPr>
        <w:pStyle w:val="Otsikko1"/>
      </w:pPr>
      <w:bookmarkStart w:id="7" w:name="_Toc469577111"/>
      <w:r>
        <w:t>Lisätiedot</w:t>
      </w:r>
      <w:bookmarkEnd w:id="7"/>
    </w:p>
    <w:p w:rsidR="00090E0F" w:rsidRDefault="00090E0F" w:rsidP="00090E0F">
      <w:pPr>
        <w:rPr>
          <w:lang w:eastAsia="fi-FI"/>
        </w:rPr>
      </w:pPr>
      <w:r w:rsidRPr="00F16AE6">
        <w:rPr>
          <w:lang w:eastAsia="fi-FI"/>
        </w:rPr>
        <w:t xml:space="preserve">Hankintaa koskevat kysymykset tulee esittää hankintayksikön kilpailutusjärjestämässä. </w:t>
      </w:r>
      <w:r w:rsidR="00FB5967">
        <w:rPr>
          <w:lang w:eastAsia="fi-FI"/>
        </w:rPr>
        <w:t>Kysymykset tulee esittää pp.</w:t>
      </w:r>
      <w:proofErr w:type="gramStart"/>
      <w:r w:rsidR="00FB5967">
        <w:rPr>
          <w:lang w:eastAsia="fi-FI"/>
        </w:rPr>
        <w:t>kk.vvvv</w:t>
      </w:r>
      <w:proofErr w:type="gramEnd"/>
      <w:r w:rsidR="00FB5967">
        <w:rPr>
          <w:lang w:eastAsia="fi-FI"/>
        </w:rPr>
        <w:t xml:space="preserve"> klo hh:mm mennessä. Kaikkiin kysymyksiin tullaan vastaamaan pp.</w:t>
      </w:r>
      <w:proofErr w:type="gramStart"/>
      <w:r w:rsidR="00FB5967">
        <w:rPr>
          <w:lang w:eastAsia="fi-FI"/>
        </w:rPr>
        <w:t>kk.vvvv</w:t>
      </w:r>
      <w:proofErr w:type="gramEnd"/>
      <w:r w:rsidR="00FB5967">
        <w:rPr>
          <w:lang w:eastAsia="fi-FI"/>
        </w:rPr>
        <w:t xml:space="preserve"> klo hh:mm mennessä ja kysymykset vastauksineen julkaistaan </w:t>
      </w:r>
      <w:r w:rsidR="00271769" w:rsidRPr="00271769">
        <w:rPr>
          <w:lang w:eastAsia="fi-FI"/>
        </w:rPr>
        <w:t>kilpailutusjärjestelmässä</w:t>
      </w:r>
      <w:r w:rsidR="00FB5967">
        <w:rPr>
          <w:lang w:eastAsia="fi-FI"/>
        </w:rPr>
        <w:t>.</w:t>
      </w:r>
      <w:r w:rsidRPr="00F16AE6">
        <w:rPr>
          <w:lang w:eastAsia="fi-FI"/>
        </w:rPr>
        <w:t xml:space="preserve"> </w:t>
      </w:r>
      <w:r>
        <w:rPr>
          <w:lang w:eastAsia="fi-FI"/>
        </w:rPr>
        <w:t xml:space="preserve">Hankintayksikö julkaisee </w:t>
      </w:r>
      <w:r w:rsidR="00221D42">
        <w:rPr>
          <w:lang w:eastAsia="fi-FI"/>
        </w:rPr>
        <w:t>päivitetyt tarjouspyynnöt</w:t>
      </w:r>
      <w:r>
        <w:rPr>
          <w:lang w:eastAsia="fi-FI"/>
        </w:rPr>
        <w:t xml:space="preserve"> </w:t>
      </w:r>
      <w:r w:rsidR="00221D42">
        <w:rPr>
          <w:lang w:eastAsia="fi-FI"/>
        </w:rPr>
        <w:t xml:space="preserve">ja mahdolliset lisäkirjeet </w:t>
      </w:r>
      <w:r>
        <w:rPr>
          <w:lang w:eastAsia="fi-FI"/>
        </w:rPr>
        <w:t>kilpailutusjärjestelmässä.</w:t>
      </w:r>
    </w:p>
    <w:p w:rsidR="00C305BF" w:rsidRDefault="0042015F" w:rsidP="00090E0F">
      <w:pPr>
        <w:rPr>
          <w:lang w:eastAsia="fi-FI"/>
        </w:rPr>
      </w:pPr>
      <w:r>
        <w:rPr>
          <w:lang w:eastAsia="fi-FI"/>
        </w:rPr>
        <w:t>K</w:t>
      </w:r>
      <w:bookmarkStart w:id="8" w:name="_GoBack"/>
      <w:bookmarkEnd w:id="8"/>
      <w:r w:rsidR="00824F42">
        <w:rPr>
          <w:lang w:eastAsia="fi-FI"/>
        </w:rPr>
        <w:t xml:space="preserve">ilpailutusjärjestelmän </w:t>
      </w:r>
      <w:r w:rsidR="00090E0F" w:rsidRPr="00F16AE6">
        <w:rPr>
          <w:lang w:eastAsia="fi-FI"/>
        </w:rPr>
        <w:t xml:space="preserve">käyttöön liittyvissä kysymyksissä tulee olla yhteydessä </w:t>
      </w:r>
      <w:r w:rsidR="00C758D1">
        <w:rPr>
          <w:lang w:eastAsia="fi-FI"/>
        </w:rPr>
        <w:t>kohdassa 2</w:t>
      </w:r>
      <w:r w:rsidR="00090E0F" w:rsidRPr="00F16AE6">
        <w:rPr>
          <w:lang w:eastAsia="fi-FI"/>
        </w:rPr>
        <w:t xml:space="preserve"> esitettyyn yhteyshenkilöön sähköpostitse.</w:t>
      </w:r>
    </w:p>
    <w:p w:rsidR="00C66439" w:rsidRDefault="00C66439" w:rsidP="00C66439"/>
    <w:p w:rsidR="00C66439" w:rsidRDefault="00C66439" w:rsidP="00C66439"/>
    <w:p w:rsidR="00C66439" w:rsidRDefault="00C66439" w:rsidP="00C66439">
      <w:pPr>
        <w:rPr>
          <w:u w:val="single"/>
        </w:rPr>
      </w:pPr>
      <w:r>
        <w:rPr>
          <w:u w:val="single"/>
        </w:rPr>
        <w:t>_________________________</w:t>
      </w:r>
    </w:p>
    <w:p w:rsidR="00C66439" w:rsidRDefault="00C66439" w:rsidP="00C66439">
      <w:pPr>
        <w:rPr>
          <w:u w:val="single"/>
        </w:rPr>
      </w:pPr>
    </w:p>
    <w:p w:rsidR="00C66439" w:rsidRPr="00C305BF" w:rsidRDefault="00C66439" w:rsidP="00C66439">
      <w:r>
        <w:t>Allekirjoitus ja nimenselvennys</w:t>
      </w:r>
    </w:p>
    <w:p w:rsidR="00C66439" w:rsidRPr="00090E0F" w:rsidRDefault="00C66439" w:rsidP="00090E0F">
      <w:r>
        <w:t>PVM pp.</w:t>
      </w:r>
      <w:proofErr w:type="gramStart"/>
      <w:r>
        <w:t>kk.vvvv</w:t>
      </w:r>
      <w:proofErr w:type="gramEnd"/>
      <w:r>
        <w:t>, Kuntala</w:t>
      </w:r>
    </w:p>
    <w:p w:rsidR="006A48FB" w:rsidRDefault="008A54A6" w:rsidP="008A54A6">
      <w:pPr>
        <w:pStyle w:val="Otsikko1"/>
      </w:pPr>
      <w:bookmarkStart w:id="9" w:name="_Toc469577112"/>
      <w:r>
        <w:t>Liitteet</w:t>
      </w:r>
      <w:bookmarkEnd w:id="9"/>
    </w:p>
    <w:p w:rsidR="005955FF" w:rsidRDefault="005955FF" w:rsidP="00956320">
      <w:pPr>
        <w:pStyle w:val="Luettelokappale"/>
        <w:numPr>
          <w:ilvl w:val="0"/>
          <w:numId w:val="11"/>
        </w:numPr>
      </w:pPr>
      <w:r>
        <w:t>Liite 1 ”Kehityshankesuunnitelma”</w:t>
      </w:r>
    </w:p>
    <w:p w:rsidR="005955FF" w:rsidRDefault="005955FF" w:rsidP="00956320">
      <w:pPr>
        <w:pStyle w:val="Luettelokappale"/>
        <w:numPr>
          <w:ilvl w:val="0"/>
          <w:numId w:val="11"/>
        </w:numPr>
      </w:pPr>
      <w:r>
        <w:t>Liite 2 ”Kuntalan matalaenergiasuunnitelma rakentamisessa”</w:t>
      </w:r>
    </w:p>
    <w:p w:rsidR="00334561" w:rsidRDefault="00334561" w:rsidP="00956320">
      <w:pPr>
        <w:pStyle w:val="Luettelokappale"/>
        <w:numPr>
          <w:ilvl w:val="0"/>
          <w:numId w:val="11"/>
        </w:numPr>
        <w:spacing w:after="0"/>
        <w:rPr>
          <w:lang w:eastAsia="fi-FI"/>
        </w:rPr>
      </w:pPr>
      <w:r>
        <w:rPr>
          <w:lang w:eastAsia="fi-FI"/>
        </w:rPr>
        <w:t>Liite 3 ”Yhteinen eurooppalainen hankinta-asiakirja” (hankintayksikön esitäyttämä)</w:t>
      </w:r>
    </w:p>
    <w:p w:rsidR="00334561" w:rsidRDefault="00334561" w:rsidP="00956320">
      <w:pPr>
        <w:pStyle w:val="Luettelokappale"/>
        <w:numPr>
          <w:ilvl w:val="0"/>
          <w:numId w:val="11"/>
        </w:numPr>
        <w:spacing w:after="0"/>
        <w:rPr>
          <w:lang w:eastAsia="fi-FI"/>
        </w:rPr>
      </w:pPr>
      <w:r>
        <w:rPr>
          <w:lang w:eastAsia="fi-FI"/>
        </w:rPr>
        <w:t>Liite 4: ”Luettelo tarjoukseen liitettävistä asiakirjoista ja soveltuvuusvaatimusten täyttymisen osoittamiseksi toimitettavista asiakirjoista”</w:t>
      </w:r>
    </w:p>
    <w:p w:rsidR="00E33960" w:rsidRDefault="00E33960" w:rsidP="00956320">
      <w:pPr>
        <w:pStyle w:val="Luettelokappale"/>
        <w:numPr>
          <w:ilvl w:val="0"/>
          <w:numId w:val="11"/>
        </w:numPr>
        <w:spacing w:after="0"/>
        <w:rPr>
          <w:lang w:eastAsia="fi-FI"/>
        </w:rPr>
      </w:pPr>
      <w:r>
        <w:rPr>
          <w:lang w:eastAsia="fi-FI"/>
        </w:rPr>
        <w:t>Liite 5 ”Arviointiperusteet”</w:t>
      </w:r>
    </w:p>
    <w:p w:rsidR="00C305BF" w:rsidRPr="00846373" w:rsidRDefault="00181986" w:rsidP="00A16116">
      <w:pPr>
        <w:pStyle w:val="Luettelokappale"/>
        <w:numPr>
          <w:ilvl w:val="0"/>
          <w:numId w:val="11"/>
        </w:numPr>
        <w:spacing w:after="0"/>
        <w:rPr>
          <w:lang w:eastAsia="fi-FI"/>
        </w:rPr>
      </w:pPr>
      <w:r>
        <w:rPr>
          <w:lang w:eastAsia="fi-FI"/>
        </w:rPr>
        <w:t>Liite 6 ”Konsulttisopimuksen luonnos”</w:t>
      </w:r>
    </w:p>
    <w:sectPr w:rsidR="00C305BF" w:rsidRPr="00846373" w:rsidSect="006A5CF2">
      <w:pgSz w:w="11906" w:h="16838"/>
      <w:pgMar w:top="1418" w:right="1134"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A1" w:rsidRDefault="000926A1" w:rsidP="000926A1">
      <w:pPr>
        <w:spacing w:after="0" w:line="240" w:lineRule="auto"/>
      </w:pPr>
      <w:r>
        <w:separator/>
      </w:r>
    </w:p>
  </w:endnote>
  <w:endnote w:type="continuationSeparator" w:id="0">
    <w:p w:rsidR="000926A1" w:rsidRDefault="000926A1" w:rsidP="0009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A1" w:rsidRDefault="000926A1" w:rsidP="000926A1">
      <w:pPr>
        <w:spacing w:after="0" w:line="240" w:lineRule="auto"/>
      </w:pPr>
      <w:r>
        <w:separator/>
      </w:r>
    </w:p>
  </w:footnote>
  <w:footnote w:type="continuationSeparator" w:id="0">
    <w:p w:rsidR="000926A1" w:rsidRDefault="000926A1" w:rsidP="00092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6A1" w:rsidRDefault="003A68B2">
    <w:pPr>
      <w:pStyle w:val="Yltunniste"/>
    </w:pPr>
    <w:r>
      <w:t>RTS 16:60:TP:2.5</w:t>
    </w:r>
    <w:r w:rsidR="000926A1">
      <w:tab/>
    </w:r>
    <w:r w:rsidR="000926A1">
      <w:tab/>
    </w:r>
    <w:r w:rsidR="000926A1">
      <w:fldChar w:fldCharType="begin"/>
    </w:r>
    <w:r w:rsidR="000926A1">
      <w:instrText>PAGE   \* MERGEFORMAT</w:instrText>
    </w:r>
    <w:r w:rsidR="000926A1">
      <w:fldChar w:fldCharType="separate"/>
    </w:r>
    <w:r w:rsidR="0042015F">
      <w:rPr>
        <w:noProof/>
      </w:rPr>
      <w:t>9</w:t>
    </w:r>
    <w:r w:rsidR="000926A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653"/>
    <w:multiLevelType w:val="hybridMultilevel"/>
    <w:tmpl w:val="A75C0696"/>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 w15:restartNumberingAfterBreak="0">
    <w:nsid w:val="05566331"/>
    <w:multiLevelType w:val="hybridMultilevel"/>
    <w:tmpl w:val="3418EA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3A78CD"/>
    <w:multiLevelType w:val="hybridMultilevel"/>
    <w:tmpl w:val="444C7618"/>
    <w:lvl w:ilvl="0" w:tplc="040B0011">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7F5889"/>
    <w:multiLevelType w:val="hybridMultilevel"/>
    <w:tmpl w:val="5DF4DAC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4621BD"/>
    <w:multiLevelType w:val="hybridMultilevel"/>
    <w:tmpl w:val="36466B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4604BD"/>
    <w:multiLevelType w:val="hybridMultilevel"/>
    <w:tmpl w:val="048258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3366B6"/>
    <w:multiLevelType w:val="multilevel"/>
    <w:tmpl w:val="CD9202B2"/>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7" w15:restartNumberingAfterBreak="0">
    <w:nsid w:val="17F70508"/>
    <w:multiLevelType w:val="hybridMultilevel"/>
    <w:tmpl w:val="1E2620F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ADD3405"/>
    <w:multiLevelType w:val="hybridMultilevel"/>
    <w:tmpl w:val="C8C236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C6E7097"/>
    <w:multiLevelType w:val="hybridMultilevel"/>
    <w:tmpl w:val="559C9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C3119B2"/>
    <w:multiLevelType w:val="hybridMultilevel"/>
    <w:tmpl w:val="04A80D2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1333CBD"/>
    <w:multiLevelType w:val="hybridMultilevel"/>
    <w:tmpl w:val="BFFEF3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0343F0"/>
    <w:multiLevelType w:val="hybridMultilevel"/>
    <w:tmpl w:val="FA2C34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9651543"/>
    <w:multiLevelType w:val="hybridMultilevel"/>
    <w:tmpl w:val="DBA02F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DE37AFF"/>
    <w:multiLevelType w:val="hybridMultilevel"/>
    <w:tmpl w:val="9594B4C0"/>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5B03486"/>
    <w:multiLevelType w:val="hybridMultilevel"/>
    <w:tmpl w:val="7C7E87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82508A0"/>
    <w:multiLevelType w:val="hybridMultilevel"/>
    <w:tmpl w:val="41EC76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0C61399"/>
    <w:multiLevelType w:val="hybridMultilevel"/>
    <w:tmpl w:val="0978A05C"/>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8" w15:restartNumberingAfterBreak="0">
    <w:nsid w:val="5223519C"/>
    <w:multiLevelType w:val="hybridMultilevel"/>
    <w:tmpl w:val="380A61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D0F5E41"/>
    <w:multiLevelType w:val="hybridMultilevel"/>
    <w:tmpl w:val="5BFAE5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26E5412"/>
    <w:multiLevelType w:val="hybridMultilevel"/>
    <w:tmpl w:val="ECC6FF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1B74959"/>
    <w:multiLevelType w:val="hybridMultilevel"/>
    <w:tmpl w:val="3A620F76"/>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9E7607D"/>
    <w:multiLevelType w:val="hybridMultilevel"/>
    <w:tmpl w:val="AD947552"/>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A282815"/>
    <w:multiLevelType w:val="hybridMultilevel"/>
    <w:tmpl w:val="BB66DD8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AB713B0"/>
    <w:multiLevelType w:val="hybridMultilevel"/>
    <w:tmpl w:val="20FE3AB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C7321A0"/>
    <w:multiLevelType w:val="hybridMultilevel"/>
    <w:tmpl w:val="6FF214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F0C4995"/>
    <w:multiLevelType w:val="hybridMultilevel"/>
    <w:tmpl w:val="2DCAFB3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6"/>
  </w:num>
  <w:num w:numId="5">
    <w:abstractNumId w:val="20"/>
  </w:num>
  <w:num w:numId="6">
    <w:abstractNumId w:val="24"/>
  </w:num>
  <w:num w:numId="7">
    <w:abstractNumId w:val="23"/>
  </w:num>
  <w:num w:numId="8">
    <w:abstractNumId w:val="10"/>
  </w:num>
  <w:num w:numId="9">
    <w:abstractNumId w:val="9"/>
  </w:num>
  <w:num w:numId="10">
    <w:abstractNumId w:val="16"/>
  </w:num>
  <w:num w:numId="11">
    <w:abstractNumId w:val="12"/>
  </w:num>
  <w:num w:numId="12">
    <w:abstractNumId w:val="14"/>
  </w:num>
  <w:num w:numId="13">
    <w:abstractNumId w:val="22"/>
  </w:num>
  <w:num w:numId="14">
    <w:abstractNumId w:val="21"/>
  </w:num>
  <w:num w:numId="15">
    <w:abstractNumId w:val="0"/>
  </w:num>
  <w:num w:numId="16">
    <w:abstractNumId w:val="5"/>
  </w:num>
  <w:num w:numId="17">
    <w:abstractNumId w:val="2"/>
  </w:num>
  <w:num w:numId="18">
    <w:abstractNumId w:val="18"/>
  </w:num>
  <w:num w:numId="19">
    <w:abstractNumId w:val="3"/>
  </w:num>
  <w:num w:numId="20">
    <w:abstractNumId w:val="11"/>
  </w:num>
  <w:num w:numId="21">
    <w:abstractNumId w:val="13"/>
  </w:num>
  <w:num w:numId="22">
    <w:abstractNumId w:val="25"/>
  </w:num>
  <w:num w:numId="23">
    <w:abstractNumId w:val="15"/>
  </w:num>
  <w:num w:numId="24">
    <w:abstractNumId w:val="19"/>
  </w:num>
  <w:num w:numId="25">
    <w:abstractNumId w:val="4"/>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C1"/>
    <w:rsid w:val="00000FAD"/>
    <w:rsid w:val="000019BA"/>
    <w:rsid w:val="00002ACD"/>
    <w:rsid w:val="00004ED1"/>
    <w:rsid w:val="000070CD"/>
    <w:rsid w:val="00010D78"/>
    <w:rsid w:val="00026E09"/>
    <w:rsid w:val="000423A8"/>
    <w:rsid w:val="00047D9D"/>
    <w:rsid w:val="00051732"/>
    <w:rsid w:val="000519EA"/>
    <w:rsid w:val="000537C5"/>
    <w:rsid w:val="00055BFB"/>
    <w:rsid w:val="000569C0"/>
    <w:rsid w:val="000605C5"/>
    <w:rsid w:val="00071511"/>
    <w:rsid w:val="00081015"/>
    <w:rsid w:val="000822A2"/>
    <w:rsid w:val="00086F34"/>
    <w:rsid w:val="00090E0F"/>
    <w:rsid w:val="000926A1"/>
    <w:rsid w:val="00094F04"/>
    <w:rsid w:val="00096EDA"/>
    <w:rsid w:val="000A3362"/>
    <w:rsid w:val="000B6909"/>
    <w:rsid w:val="000C1C11"/>
    <w:rsid w:val="000C52DE"/>
    <w:rsid w:val="000D144D"/>
    <w:rsid w:val="000E343C"/>
    <w:rsid w:val="000E36AC"/>
    <w:rsid w:val="000E3D6F"/>
    <w:rsid w:val="000E474D"/>
    <w:rsid w:val="000F0707"/>
    <w:rsid w:val="000F5A65"/>
    <w:rsid w:val="000F698A"/>
    <w:rsid w:val="000F6BF5"/>
    <w:rsid w:val="001110C0"/>
    <w:rsid w:val="0011116A"/>
    <w:rsid w:val="00112662"/>
    <w:rsid w:val="001139B7"/>
    <w:rsid w:val="00117BE3"/>
    <w:rsid w:val="00121236"/>
    <w:rsid w:val="0012354E"/>
    <w:rsid w:val="00131B01"/>
    <w:rsid w:val="001329D0"/>
    <w:rsid w:val="00133F4F"/>
    <w:rsid w:val="00135C4C"/>
    <w:rsid w:val="00142C92"/>
    <w:rsid w:val="00145D88"/>
    <w:rsid w:val="0015272A"/>
    <w:rsid w:val="00154932"/>
    <w:rsid w:val="001601A2"/>
    <w:rsid w:val="00171BBA"/>
    <w:rsid w:val="001818F4"/>
    <w:rsid w:val="00181986"/>
    <w:rsid w:val="0019297D"/>
    <w:rsid w:val="00193A6D"/>
    <w:rsid w:val="00195C6F"/>
    <w:rsid w:val="00195CA6"/>
    <w:rsid w:val="001A1429"/>
    <w:rsid w:val="001A3E28"/>
    <w:rsid w:val="001D5882"/>
    <w:rsid w:val="001E437A"/>
    <w:rsid w:val="001F02CD"/>
    <w:rsid w:val="001F070D"/>
    <w:rsid w:val="001F0DDC"/>
    <w:rsid w:val="001F2EBF"/>
    <w:rsid w:val="001F6593"/>
    <w:rsid w:val="00200EF4"/>
    <w:rsid w:val="0020338C"/>
    <w:rsid w:val="002041C3"/>
    <w:rsid w:val="00204E34"/>
    <w:rsid w:val="00206038"/>
    <w:rsid w:val="00214FE4"/>
    <w:rsid w:val="00221D42"/>
    <w:rsid w:val="00222ED9"/>
    <w:rsid w:val="00223AE0"/>
    <w:rsid w:val="00225445"/>
    <w:rsid w:val="00225DF6"/>
    <w:rsid w:val="00227CAB"/>
    <w:rsid w:val="002426DB"/>
    <w:rsid w:val="00245BC0"/>
    <w:rsid w:val="00265598"/>
    <w:rsid w:val="00271769"/>
    <w:rsid w:val="00274090"/>
    <w:rsid w:val="002745F8"/>
    <w:rsid w:val="0028159C"/>
    <w:rsid w:val="0028390D"/>
    <w:rsid w:val="00284373"/>
    <w:rsid w:val="002846F3"/>
    <w:rsid w:val="00284BF2"/>
    <w:rsid w:val="0029077F"/>
    <w:rsid w:val="00292B9A"/>
    <w:rsid w:val="002964F3"/>
    <w:rsid w:val="002A10DE"/>
    <w:rsid w:val="002B205B"/>
    <w:rsid w:val="002B606B"/>
    <w:rsid w:val="002C3544"/>
    <w:rsid w:val="002D1EE8"/>
    <w:rsid w:val="002D68DF"/>
    <w:rsid w:val="002D6C3D"/>
    <w:rsid w:val="002E4D1E"/>
    <w:rsid w:val="002E50E4"/>
    <w:rsid w:val="002E7872"/>
    <w:rsid w:val="00301241"/>
    <w:rsid w:val="0030582B"/>
    <w:rsid w:val="00307FEF"/>
    <w:rsid w:val="00314039"/>
    <w:rsid w:val="0032053D"/>
    <w:rsid w:val="003239C3"/>
    <w:rsid w:val="003309B6"/>
    <w:rsid w:val="003326D3"/>
    <w:rsid w:val="00334561"/>
    <w:rsid w:val="00337BC5"/>
    <w:rsid w:val="00340802"/>
    <w:rsid w:val="00342057"/>
    <w:rsid w:val="00344045"/>
    <w:rsid w:val="003465B4"/>
    <w:rsid w:val="00347958"/>
    <w:rsid w:val="00347DF9"/>
    <w:rsid w:val="003569C4"/>
    <w:rsid w:val="00361155"/>
    <w:rsid w:val="00361F4A"/>
    <w:rsid w:val="003627F7"/>
    <w:rsid w:val="00367A0F"/>
    <w:rsid w:val="003767D9"/>
    <w:rsid w:val="00377070"/>
    <w:rsid w:val="00377387"/>
    <w:rsid w:val="00377C26"/>
    <w:rsid w:val="003827BF"/>
    <w:rsid w:val="0038728F"/>
    <w:rsid w:val="00387AF7"/>
    <w:rsid w:val="003911E7"/>
    <w:rsid w:val="003A2815"/>
    <w:rsid w:val="003A420C"/>
    <w:rsid w:val="003A68B2"/>
    <w:rsid w:val="003B0C9B"/>
    <w:rsid w:val="003B2C1E"/>
    <w:rsid w:val="003C1CFE"/>
    <w:rsid w:val="003C2DC1"/>
    <w:rsid w:val="003C4F70"/>
    <w:rsid w:val="003D20A2"/>
    <w:rsid w:val="003D7AE0"/>
    <w:rsid w:val="003D7C0E"/>
    <w:rsid w:val="003E3178"/>
    <w:rsid w:val="003F14DD"/>
    <w:rsid w:val="003F7556"/>
    <w:rsid w:val="0041420C"/>
    <w:rsid w:val="0041645E"/>
    <w:rsid w:val="00417AAB"/>
    <w:rsid w:val="0042015F"/>
    <w:rsid w:val="00422880"/>
    <w:rsid w:val="00427897"/>
    <w:rsid w:val="00432177"/>
    <w:rsid w:val="00444927"/>
    <w:rsid w:val="00446BA5"/>
    <w:rsid w:val="00454536"/>
    <w:rsid w:val="00462AB9"/>
    <w:rsid w:val="004647F4"/>
    <w:rsid w:val="00465FA2"/>
    <w:rsid w:val="00467057"/>
    <w:rsid w:val="00481AD8"/>
    <w:rsid w:val="00486B96"/>
    <w:rsid w:val="0048732A"/>
    <w:rsid w:val="0049469E"/>
    <w:rsid w:val="00495FE8"/>
    <w:rsid w:val="004A2783"/>
    <w:rsid w:val="004B18F2"/>
    <w:rsid w:val="004B1E9C"/>
    <w:rsid w:val="004B7071"/>
    <w:rsid w:val="004C4C1F"/>
    <w:rsid w:val="004C6E2F"/>
    <w:rsid w:val="004D47FB"/>
    <w:rsid w:val="004F093D"/>
    <w:rsid w:val="004F7922"/>
    <w:rsid w:val="00502B3C"/>
    <w:rsid w:val="0050486D"/>
    <w:rsid w:val="00515EA0"/>
    <w:rsid w:val="0052306D"/>
    <w:rsid w:val="00523EE1"/>
    <w:rsid w:val="00530E69"/>
    <w:rsid w:val="00531390"/>
    <w:rsid w:val="00532501"/>
    <w:rsid w:val="00532BFD"/>
    <w:rsid w:val="00536415"/>
    <w:rsid w:val="0053652F"/>
    <w:rsid w:val="00540279"/>
    <w:rsid w:val="005403C8"/>
    <w:rsid w:val="00544252"/>
    <w:rsid w:val="00550412"/>
    <w:rsid w:val="005524C1"/>
    <w:rsid w:val="00553467"/>
    <w:rsid w:val="00554781"/>
    <w:rsid w:val="00556F77"/>
    <w:rsid w:val="00564E25"/>
    <w:rsid w:val="00565D77"/>
    <w:rsid w:val="0056624E"/>
    <w:rsid w:val="005748F9"/>
    <w:rsid w:val="005768A5"/>
    <w:rsid w:val="00577550"/>
    <w:rsid w:val="00582396"/>
    <w:rsid w:val="00592236"/>
    <w:rsid w:val="005955FF"/>
    <w:rsid w:val="00596900"/>
    <w:rsid w:val="005A045C"/>
    <w:rsid w:val="005A0F77"/>
    <w:rsid w:val="005A1430"/>
    <w:rsid w:val="005A28E0"/>
    <w:rsid w:val="005B2BD3"/>
    <w:rsid w:val="005B3280"/>
    <w:rsid w:val="005C10BD"/>
    <w:rsid w:val="005C4AE2"/>
    <w:rsid w:val="005D32D2"/>
    <w:rsid w:val="005D3A75"/>
    <w:rsid w:val="005D3E5F"/>
    <w:rsid w:val="005E1BC3"/>
    <w:rsid w:val="005E216C"/>
    <w:rsid w:val="005E33A7"/>
    <w:rsid w:val="005F114A"/>
    <w:rsid w:val="006013A2"/>
    <w:rsid w:val="006027EB"/>
    <w:rsid w:val="00602861"/>
    <w:rsid w:val="00604578"/>
    <w:rsid w:val="00604FB1"/>
    <w:rsid w:val="00605CA6"/>
    <w:rsid w:val="00607C1F"/>
    <w:rsid w:val="00612D78"/>
    <w:rsid w:val="0061519D"/>
    <w:rsid w:val="006217E2"/>
    <w:rsid w:val="0062236C"/>
    <w:rsid w:val="0062382F"/>
    <w:rsid w:val="00626B1B"/>
    <w:rsid w:val="00626CB0"/>
    <w:rsid w:val="00627C28"/>
    <w:rsid w:val="00637608"/>
    <w:rsid w:val="00641C40"/>
    <w:rsid w:val="006427AD"/>
    <w:rsid w:val="0064561C"/>
    <w:rsid w:val="00646DA8"/>
    <w:rsid w:val="0065123F"/>
    <w:rsid w:val="00652468"/>
    <w:rsid w:val="00661050"/>
    <w:rsid w:val="0066167B"/>
    <w:rsid w:val="00661AF9"/>
    <w:rsid w:val="006621F7"/>
    <w:rsid w:val="00662FA1"/>
    <w:rsid w:val="006669E9"/>
    <w:rsid w:val="006730FA"/>
    <w:rsid w:val="006850B0"/>
    <w:rsid w:val="00693536"/>
    <w:rsid w:val="00694258"/>
    <w:rsid w:val="0069628E"/>
    <w:rsid w:val="006965F0"/>
    <w:rsid w:val="006A12E8"/>
    <w:rsid w:val="006A48FB"/>
    <w:rsid w:val="006A5CF2"/>
    <w:rsid w:val="006B2132"/>
    <w:rsid w:val="006B6B33"/>
    <w:rsid w:val="006C26A7"/>
    <w:rsid w:val="006C7610"/>
    <w:rsid w:val="006D028B"/>
    <w:rsid w:val="006D2915"/>
    <w:rsid w:val="006D2F4D"/>
    <w:rsid w:val="006D4D00"/>
    <w:rsid w:val="006D76A2"/>
    <w:rsid w:val="006E3428"/>
    <w:rsid w:val="006E6AF6"/>
    <w:rsid w:val="006E6D3B"/>
    <w:rsid w:val="006E7E4D"/>
    <w:rsid w:val="006F0FFC"/>
    <w:rsid w:val="006F40EB"/>
    <w:rsid w:val="006F76DF"/>
    <w:rsid w:val="00703F1D"/>
    <w:rsid w:val="00710A76"/>
    <w:rsid w:val="00711C23"/>
    <w:rsid w:val="007217C4"/>
    <w:rsid w:val="00721CA2"/>
    <w:rsid w:val="00723CDE"/>
    <w:rsid w:val="0072511F"/>
    <w:rsid w:val="00731B55"/>
    <w:rsid w:val="00744E0F"/>
    <w:rsid w:val="0074576E"/>
    <w:rsid w:val="00746BFB"/>
    <w:rsid w:val="00747724"/>
    <w:rsid w:val="0075043D"/>
    <w:rsid w:val="00750E67"/>
    <w:rsid w:val="007511CD"/>
    <w:rsid w:val="00752AF5"/>
    <w:rsid w:val="007536D0"/>
    <w:rsid w:val="00755CE8"/>
    <w:rsid w:val="00757570"/>
    <w:rsid w:val="00766734"/>
    <w:rsid w:val="0077206C"/>
    <w:rsid w:val="007726F1"/>
    <w:rsid w:val="00772B1E"/>
    <w:rsid w:val="00772C75"/>
    <w:rsid w:val="00775AEE"/>
    <w:rsid w:val="00780FD3"/>
    <w:rsid w:val="00786B89"/>
    <w:rsid w:val="00787703"/>
    <w:rsid w:val="00794F26"/>
    <w:rsid w:val="007B7010"/>
    <w:rsid w:val="007C2D62"/>
    <w:rsid w:val="007C2F33"/>
    <w:rsid w:val="007C3847"/>
    <w:rsid w:val="007D3C7D"/>
    <w:rsid w:val="007D48BE"/>
    <w:rsid w:val="007D724F"/>
    <w:rsid w:val="007D7289"/>
    <w:rsid w:val="007F0C8E"/>
    <w:rsid w:val="007F0F72"/>
    <w:rsid w:val="007F2648"/>
    <w:rsid w:val="00801781"/>
    <w:rsid w:val="00802AD5"/>
    <w:rsid w:val="0080716A"/>
    <w:rsid w:val="008121EE"/>
    <w:rsid w:val="00812CB3"/>
    <w:rsid w:val="00813D8A"/>
    <w:rsid w:val="00824F42"/>
    <w:rsid w:val="00825EBA"/>
    <w:rsid w:val="00826768"/>
    <w:rsid w:val="00834840"/>
    <w:rsid w:val="00834CC8"/>
    <w:rsid w:val="00846373"/>
    <w:rsid w:val="008529C4"/>
    <w:rsid w:val="00856241"/>
    <w:rsid w:val="008633BD"/>
    <w:rsid w:val="008668A1"/>
    <w:rsid w:val="0086741F"/>
    <w:rsid w:val="008725C0"/>
    <w:rsid w:val="00876863"/>
    <w:rsid w:val="008771A0"/>
    <w:rsid w:val="0089122B"/>
    <w:rsid w:val="008927D2"/>
    <w:rsid w:val="00893312"/>
    <w:rsid w:val="008933F4"/>
    <w:rsid w:val="008937A7"/>
    <w:rsid w:val="00896CD3"/>
    <w:rsid w:val="008A54A6"/>
    <w:rsid w:val="008B4EEC"/>
    <w:rsid w:val="008B59EA"/>
    <w:rsid w:val="008B6C56"/>
    <w:rsid w:val="008C4A23"/>
    <w:rsid w:val="008C62FB"/>
    <w:rsid w:val="008D0002"/>
    <w:rsid w:val="008D0CCD"/>
    <w:rsid w:val="008D2A5E"/>
    <w:rsid w:val="008E0FE1"/>
    <w:rsid w:val="008E3420"/>
    <w:rsid w:val="008F2CE0"/>
    <w:rsid w:val="0090322F"/>
    <w:rsid w:val="00903953"/>
    <w:rsid w:val="009078FA"/>
    <w:rsid w:val="00907FAB"/>
    <w:rsid w:val="009165B1"/>
    <w:rsid w:val="00922C55"/>
    <w:rsid w:val="00924729"/>
    <w:rsid w:val="00943D4B"/>
    <w:rsid w:val="00944B76"/>
    <w:rsid w:val="0095170B"/>
    <w:rsid w:val="00952277"/>
    <w:rsid w:val="009550BD"/>
    <w:rsid w:val="00956320"/>
    <w:rsid w:val="00961EA2"/>
    <w:rsid w:val="00964390"/>
    <w:rsid w:val="009647CF"/>
    <w:rsid w:val="00967F66"/>
    <w:rsid w:val="009726A4"/>
    <w:rsid w:val="00972F3E"/>
    <w:rsid w:val="00986DFF"/>
    <w:rsid w:val="00991BDE"/>
    <w:rsid w:val="00991E29"/>
    <w:rsid w:val="009923C4"/>
    <w:rsid w:val="009A0D74"/>
    <w:rsid w:val="009A3F97"/>
    <w:rsid w:val="009B087B"/>
    <w:rsid w:val="009B2F94"/>
    <w:rsid w:val="009B649C"/>
    <w:rsid w:val="009C4927"/>
    <w:rsid w:val="009C59F9"/>
    <w:rsid w:val="009C5D82"/>
    <w:rsid w:val="009C79A0"/>
    <w:rsid w:val="009D2FCD"/>
    <w:rsid w:val="009D69A1"/>
    <w:rsid w:val="009E037C"/>
    <w:rsid w:val="009E5ABF"/>
    <w:rsid w:val="009E7999"/>
    <w:rsid w:val="00A029E9"/>
    <w:rsid w:val="00A052B3"/>
    <w:rsid w:val="00A06635"/>
    <w:rsid w:val="00A1276F"/>
    <w:rsid w:val="00A13845"/>
    <w:rsid w:val="00A16116"/>
    <w:rsid w:val="00A245CC"/>
    <w:rsid w:val="00A25726"/>
    <w:rsid w:val="00A276EB"/>
    <w:rsid w:val="00A27B1D"/>
    <w:rsid w:val="00A328F5"/>
    <w:rsid w:val="00A32F8A"/>
    <w:rsid w:val="00A35EBF"/>
    <w:rsid w:val="00A61088"/>
    <w:rsid w:val="00A62A14"/>
    <w:rsid w:val="00A670C1"/>
    <w:rsid w:val="00A713E9"/>
    <w:rsid w:val="00A71ED8"/>
    <w:rsid w:val="00A80507"/>
    <w:rsid w:val="00A82D33"/>
    <w:rsid w:val="00A84EF3"/>
    <w:rsid w:val="00A85226"/>
    <w:rsid w:val="00A90A5A"/>
    <w:rsid w:val="00A92268"/>
    <w:rsid w:val="00A93440"/>
    <w:rsid w:val="00A943F8"/>
    <w:rsid w:val="00A94E7E"/>
    <w:rsid w:val="00A957BC"/>
    <w:rsid w:val="00A97034"/>
    <w:rsid w:val="00AA11A7"/>
    <w:rsid w:val="00AA1942"/>
    <w:rsid w:val="00AA20E6"/>
    <w:rsid w:val="00AA30E1"/>
    <w:rsid w:val="00AA5897"/>
    <w:rsid w:val="00AA6683"/>
    <w:rsid w:val="00AB4848"/>
    <w:rsid w:val="00AB55EB"/>
    <w:rsid w:val="00AB70C1"/>
    <w:rsid w:val="00AC3FEC"/>
    <w:rsid w:val="00AC5A60"/>
    <w:rsid w:val="00AC679B"/>
    <w:rsid w:val="00AC7848"/>
    <w:rsid w:val="00AD0CD0"/>
    <w:rsid w:val="00AD10D3"/>
    <w:rsid w:val="00AD59AF"/>
    <w:rsid w:val="00AE0D16"/>
    <w:rsid w:val="00AE132A"/>
    <w:rsid w:val="00AE36BF"/>
    <w:rsid w:val="00AF0EAC"/>
    <w:rsid w:val="00AF7342"/>
    <w:rsid w:val="00B01A05"/>
    <w:rsid w:val="00B02557"/>
    <w:rsid w:val="00B13DB1"/>
    <w:rsid w:val="00B232A6"/>
    <w:rsid w:val="00B25773"/>
    <w:rsid w:val="00B370F5"/>
    <w:rsid w:val="00B37E32"/>
    <w:rsid w:val="00B429A0"/>
    <w:rsid w:val="00B42E5F"/>
    <w:rsid w:val="00B4474E"/>
    <w:rsid w:val="00B5368D"/>
    <w:rsid w:val="00B53741"/>
    <w:rsid w:val="00B61986"/>
    <w:rsid w:val="00B65514"/>
    <w:rsid w:val="00B73AB8"/>
    <w:rsid w:val="00B80332"/>
    <w:rsid w:val="00B80BF4"/>
    <w:rsid w:val="00B87E1B"/>
    <w:rsid w:val="00B9171C"/>
    <w:rsid w:val="00B924A9"/>
    <w:rsid w:val="00B97A41"/>
    <w:rsid w:val="00BA29A4"/>
    <w:rsid w:val="00BA48E3"/>
    <w:rsid w:val="00BB26FD"/>
    <w:rsid w:val="00BB3899"/>
    <w:rsid w:val="00BB3D12"/>
    <w:rsid w:val="00BB668E"/>
    <w:rsid w:val="00BB7149"/>
    <w:rsid w:val="00BC20B1"/>
    <w:rsid w:val="00BC386B"/>
    <w:rsid w:val="00BC58F6"/>
    <w:rsid w:val="00BC5E4D"/>
    <w:rsid w:val="00BC7E29"/>
    <w:rsid w:val="00BE0CEA"/>
    <w:rsid w:val="00BE16BB"/>
    <w:rsid w:val="00BE2C3F"/>
    <w:rsid w:val="00BF27EF"/>
    <w:rsid w:val="00BF3552"/>
    <w:rsid w:val="00BF3764"/>
    <w:rsid w:val="00C0462F"/>
    <w:rsid w:val="00C047DD"/>
    <w:rsid w:val="00C06048"/>
    <w:rsid w:val="00C07C81"/>
    <w:rsid w:val="00C127D8"/>
    <w:rsid w:val="00C210AC"/>
    <w:rsid w:val="00C21DB0"/>
    <w:rsid w:val="00C220CC"/>
    <w:rsid w:val="00C22CFA"/>
    <w:rsid w:val="00C2571D"/>
    <w:rsid w:val="00C26561"/>
    <w:rsid w:val="00C305BF"/>
    <w:rsid w:val="00C3214A"/>
    <w:rsid w:val="00C41A62"/>
    <w:rsid w:val="00C444C6"/>
    <w:rsid w:val="00C4493F"/>
    <w:rsid w:val="00C4561A"/>
    <w:rsid w:val="00C4787F"/>
    <w:rsid w:val="00C57C94"/>
    <w:rsid w:val="00C62798"/>
    <w:rsid w:val="00C643EC"/>
    <w:rsid w:val="00C66439"/>
    <w:rsid w:val="00C70FD8"/>
    <w:rsid w:val="00C758D1"/>
    <w:rsid w:val="00C75C4C"/>
    <w:rsid w:val="00C77511"/>
    <w:rsid w:val="00C804AC"/>
    <w:rsid w:val="00C8059F"/>
    <w:rsid w:val="00C82035"/>
    <w:rsid w:val="00C82C9C"/>
    <w:rsid w:val="00C855C5"/>
    <w:rsid w:val="00C95D79"/>
    <w:rsid w:val="00C96A43"/>
    <w:rsid w:val="00C9709C"/>
    <w:rsid w:val="00CA4E32"/>
    <w:rsid w:val="00CA4F8B"/>
    <w:rsid w:val="00CB17E2"/>
    <w:rsid w:val="00CB279D"/>
    <w:rsid w:val="00CB3857"/>
    <w:rsid w:val="00CB728B"/>
    <w:rsid w:val="00CC615A"/>
    <w:rsid w:val="00CC68C4"/>
    <w:rsid w:val="00CD09F5"/>
    <w:rsid w:val="00CD4889"/>
    <w:rsid w:val="00CD543A"/>
    <w:rsid w:val="00CD55D5"/>
    <w:rsid w:val="00CD57EC"/>
    <w:rsid w:val="00CD7DF4"/>
    <w:rsid w:val="00CE3054"/>
    <w:rsid w:val="00CE54EE"/>
    <w:rsid w:val="00CE699B"/>
    <w:rsid w:val="00CF0F3D"/>
    <w:rsid w:val="00CF7DD2"/>
    <w:rsid w:val="00D01225"/>
    <w:rsid w:val="00D10693"/>
    <w:rsid w:val="00D13C0E"/>
    <w:rsid w:val="00D174EF"/>
    <w:rsid w:val="00D21771"/>
    <w:rsid w:val="00D26DC9"/>
    <w:rsid w:val="00D274C4"/>
    <w:rsid w:val="00D30286"/>
    <w:rsid w:val="00D31648"/>
    <w:rsid w:val="00D33D8D"/>
    <w:rsid w:val="00D411DE"/>
    <w:rsid w:val="00D426E4"/>
    <w:rsid w:val="00D442AF"/>
    <w:rsid w:val="00D44C51"/>
    <w:rsid w:val="00D46ED6"/>
    <w:rsid w:val="00D50B5B"/>
    <w:rsid w:val="00D61129"/>
    <w:rsid w:val="00D62098"/>
    <w:rsid w:val="00D648DC"/>
    <w:rsid w:val="00D70565"/>
    <w:rsid w:val="00D74D13"/>
    <w:rsid w:val="00D7606D"/>
    <w:rsid w:val="00D803A4"/>
    <w:rsid w:val="00D841A6"/>
    <w:rsid w:val="00D903BC"/>
    <w:rsid w:val="00D945D6"/>
    <w:rsid w:val="00D95270"/>
    <w:rsid w:val="00DA7199"/>
    <w:rsid w:val="00DC047A"/>
    <w:rsid w:val="00DC1CAB"/>
    <w:rsid w:val="00DC6119"/>
    <w:rsid w:val="00DD1754"/>
    <w:rsid w:val="00DD47FD"/>
    <w:rsid w:val="00DD4F6D"/>
    <w:rsid w:val="00DD6BB1"/>
    <w:rsid w:val="00DE1329"/>
    <w:rsid w:val="00DE2BA9"/>
    <w:rsid w:val="00DF5448"/>
    <w:rsid w:val="00DF6C2B"/>
    <w:rsid w:val="00DF7FCD"/>
    <w:rsid w:val="00E0208C"/>
    <w:rsid w:val="00E14B8A"/>
    <w:rsid w:val="00E14DC9"/>
    <w:rsid w:val="00E23E0F"/>
    <w:rsid w:val="00E33960"/>
    <w:rsid w:val="00E40817"/>
    <w:rsid w:val="00E433DF"/>
    <w:rsid w:val="00E4554C"/>
    <w:rsid w:val="00E46DCD"/>
    <w:rsid w:val="00E547FC"/>
    <w:rsid w:val="00E54E7F"/>
    <w:rsid w:val="00E608BA"/>
    <w:rsid w:val="00E6312B"/>
    <w:rsid w:val="00E70826"/>
    <w:rsid w:val="00E71140"/>
    <w:rsid w:val="00E72CE2"/>
    <w:rsid w:val="00E756A8"/>
    <w:rsid w:val="00E8178F"/>
    <w:rsid w:val="00E825C7"/>
    <w:rsid w:val="00E82C5A"/>
    <w:rsid w:val="00E93854"/>
    <w:rsid w:val="00E94964"/>
    <w:rsid w:val="00EA016C"/>
    <w:rsid w:val="00EA0976"/>
    <w:rsid w:val="00EA7D68"/>
    <w:rsid w:val="00EB7CCA"/>
    <w:rsid w:val="00EC598F"/>
    <w:rsid w:val="00EC6EF1"/>
    <w:rsid w:val="00EC77C5"/>
    <w:rsid w:val="00ED1703"/>
    <w:rsid w:val="00ED2B78"/>
    <w:rsid w:val="00EE67AB"/>
    <w:rsid w:val="00EF02FE"/>
    <w:rsid w:val="00EF232A"/>
    <w:rsid w:val="00EF4D66"/>
    <w:rsid w:val="00F01CD9"/>
    <w:rsid w:val="00F02317"/>
    <w:rsid w:val="00F05C23"/>
    <w:rsid w:val="00F06B6A"/>
    <w:rsid w:val="00F10DFF"/>
    <w:rsid w:val="00F13A50"/>
    <w:rsid w:val="00F13D08"/>
    <w:rsid w:val="00F156F4"/>
    <w:rsid w:val="00F16F08"/>
    <w:rsid w:val="00F212AF"/>
    <w:rsid w:val="00F241DF"/>
    <w:rsid w:val="00F24D82"/>
    <w:rsid w:val="00F30517"/>
    <w:rsid w:val="00F46B27"/>
    <w:rsid w:val="00F504D2"/>
    <w:rsid w:val="00F52120"/>
    <w:rsid w:val="00F533A3"/>
    <w:rsid w:val="00F615E3"/>
    <w:rsid w:val="00F62CAB"/>
    <w:rsid w:val="00F75F4E"/>
    <w:rsid w:val="00F76420"/>
    <w:rsid w:val="00F830F6"/>
    <w:rsid w:val="00F846D2"/>
    <w:rsid w:val="00F86926"/>
    <w:rsid w:val="00F90E05"/>
    <w:rsid w:val="00F91F5B"/>
    <w:rsid w:val="00F9281A"/>
    <w:rsid w:val="00F93047"/>
    <w:rsid w:val="00FB2315"/>
    <w:rsid w:val="00FB5967"/>
    <w:rsid w:val="00FC1BA9"/>
    <w:rsid w:val="00FC203F"/>
    <w:rsid w:val="00FD0B21"/>
    <w:rsid w:val="00FD52FD"/>
    <w:rsid w:val="00FE53F1"/>
    <w:rsid w:val="00FF249A"/>
    <w:rsid w:val="00FF5893"/>
    <w:rsid w:val="00FF5B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11D7"/>
  <w15:chartTrackingRefBased/>
  <w15:docId w15:val="{1EEB9C9E-28CC-4B80-B0ED-E98FC901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524C1"/>
    <w:pPr>
      <w:keepNext/>
      <w:keepLines/>
      <w:numPr>
        <w:numId w:val="1"/>
      </w:numPr>
      <w:spacing w:before="240" w:after="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5524C1"/>
    <w:pPr>
      <w:keepNext/>
      <w:keepLines/>
      <w:numPr>
        <w:ilvl w:val="1"/>
        <w:numId w:val="1"/>
      </w:numPr>
      <w:spacing w:before="40" w:after="2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5524C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semiHidden/>
    <w:unhideWhenUsed/>
    <w:qFormat/>
    <w:rsid w:val="005524C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5524C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5524C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5524C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5524C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5524C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524C1"/>
    <w:rPr>
      <w:rFonts w:asciiTheme="majorHAnsi" w:eastAsiaTheme="majorEastAsia" w:hAnsiTheme="majorHAnsi" w:cstheme="majorBidi"/>
      <w:color w:val="2E74B5" w:themeColor="accent1" w:themeShade="BF"/>
      <w:sz w:val="32"/>
      <w:szCs w:val="32"/>
    </w:rPr>
  </w:style>
  <w:style w:type="paragraph" w:styleId="Otsikko">
    <w:name w:val="Title"/>
    <w:basedOn w:val="Normaali"/>
    <w:next w:val="Normaali"/>
    <w:link w:val="OtsikkoChar"/>
    <w:uiPriority w:val="10"/>
    <w:qFormat/>
    <w:rsid w:val="00552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524C1"/>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5524C1"/>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5524C1"/>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semiHidden/>
    <w:rsid w:val="005524C1"/>
    <w:rPr>
      <w:rFonts w:asciiTheme="majorHAnsi" w:eastAsiaTheme="majorEastAsia" w:hAnsiTheme="majorHAnsi" w:cstheme="majorBidi"/>
      <w:i/>
      <w:iCs/>
      <w:color w:val="2E74B5" w:themeColor="accent1" w:themeShade="BF"/>
    </w:rPr>
  </w:style>
  <w:style w:type="character" w:customStyle="1" w:styleId="Otsikko5Char">
    <w:name w:val="Otsikko 5 Char"/>
    <w:basedOn w:val="Kappaleenoletusfontti"/>
    <w:link w:val="Otsikko5"/>
    <w:uiPriority w:val="9"/>
    <w:semiHidden/>
    <w:rsid w:val="005524C1"/>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5524C1"/>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5524C1"/>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semiHidden/>
    <w:rsid w:val="005524C1"/>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5524C1"/>
    <w:rPr>
      <w:rFonts w:asciiTheme="majorHAnsi" w:eastAsiaTheme="majorEastAsia" w:hAnsiTheme="majorHAnsi" w:cstheme="majorBidi"/>
      <w:i/>
      <w:iCs/>
      <w:color w:val="272727" w:themeColor="text1" w:themeTint="D8"/>
      <w:sz w:val="21"/>
      <w:szCs w:val="21"/>
    </w:rPr>
  </w:style>
  <w:style w:type="paragraph" w:styleId="Luettelokappale">
    <w:name w:val="List Paragraph"/>
    <w:basedOn w:val="Normaali"/>
    <w:uiPriority w:val="34"/>
    <w:qFormat/>
    <w:rsid w:val="008633BD"/>
    <w:pPr>
      <w:ind w:left="720"/>
      <w:contextualSpacing/>
    </w:pPr>
  </w:style>
  <w:style w:type="table" w:styleId="TaulukkoRuudukko">
    <w:name w:val="Table Grid"/>
    <w:basedOn w:val="Normaalitaulukko"/>
    <w:uiPriority w:val="39"/>
    <w:rsid w:val="00D9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i">
    <w:name w:val="Ingressi"/>
    <w:basedOn w:val="Normaali"/>
    <w:link w:val="IngressiChar"/>
    <w:qFormat/>
    <w:rsid w:val="00554781"/>
    <w:pPr>
      <w:spacing w:before="240"/>
    </w:pPr>
    <w:rPr>
      <w:b/>
      <w:sz w:val="18"/>
    </w:rPr>
  </w:style>
  <w:style w:type="paragraph" w:styleId="Yltunniste">
    <w:name w:val="header"/>
    <w:basedOn w:val="Normaali"/>
    <w:link w:val="YltunnisteChar"/>
    <w:uiPriority w:val="99"/>
    <w:unhideWhenUsed/>
    <w:rsid w:val="000926A1"/>
    <w:pPr>
      <w:tabs>
        <w:tab w:val="center" w:pos="4819"/>
        <w:tab w:val="right" w:pos="9638"/>
      </w:tabs>
      <w:spacing w:after="0" w:line="240" w:lineRule="auto"/>
    </w:pPr>
  </w:style>
  <w:style w:type="character" w:customStyle="1" w:styleId="IngressiChar">
    <w:name w:val="Ingressi Char"/>
    <w:basedOn w:val="Kappaleenoletusfontti"/>
    <w:link w:val="Ingressi"/>
    <w:rsid w:val="00554781"/>
    <w:rPr>
      <w:b/>
      <w:sz w:val="18"/>
    </w:rPr>
  </w:style>
  <w:style w:type="character" w:customStyle="1" w:styleId="YltunnisteChar">
    <w:name w:val="Ylätunniste Char"/>
    <w:basedOn w:val="Kappaleenoletusfontti"/>
    <w:link w:val="Yltunniste"/>
    <w:uiPriority w:val="99"/>
    <w:rsid w:val="000926A1"/>
  </w:style>
  <w:style w:type="paragraph" w:styleId="Alatunniste">
    <w:name w:val="footer"/>
    <w:basedOn w:val="Normaali"/>
    <w:link w:val="AlatunnisteChar"/>
    <w:uiPriority w:val="99"/>
    <w:unhideWhenUsed/>
    <w:rsid w:val="000926A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926A1"/>
  </w:style>
  <w:style w:type="paragraph" w:styleId="Sisluet1">
    <w:name w:val="toc 1"/>
    <w:basedOn w:val="Normaali"/>
    <w:next w:val="Normaali"/>
    <w:autoRedefine/>
    <w:uiPriority w:val="39"/>
    <w:unhideWhenUsed/>
    <w:rsid w:val="0032053D"/>
    <w:pPr>
      <w:spacing w:after="100"/>
    </w:pPr>
  </w:style>
  <w:style w:type="character" w:styleId="Hyperlinkki">
    <w:name w:val="Hyperlink"/>
    <w:basedOn w:val="Kappaleenoletusfontti"/>
    <w:uiPriority w:val="99"/>
    <w:unhideWhenUsed/>
    <w:rsid w:val="0032053D"/>
    <w:rPr>
      <w:color w:val="0563C1" w:themeColor="hyperlink"/>
      <w:u w:val="single"/>
    </w:rPr>
  </w:style>
  <w:style w:type="paragraph" w:styleId="Kuvaotsikko">
    <w:name w:val="caption"/>
    <w:basedOn w:val="Normaali"/>
    <w:next w:val="Normaali"/>
    <w:uiPriority w:val="35"/>
    <w:unhideWhenUsed/>
    <w:qFormat/>
    <w:rsid w:val="0032053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10</Pages>
  <Words>2617</Words>
  <Characters>21205</Characters>
  <Application>Microsoft Office Word</Application>
  <DocSecurity>0</DocSecurity>
  <Lines>176</Lines>
  <Paragraphs>47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Santeri Naumanen</dc:creator>
  <cp:keywords/>
  <dc:description/>
  <cp:lastModifiedBy>Naumanen Santeri</cp:lastModifiedBy>
  <cp:revision>311</cp:revision>
  <dcterms:created xsi:type="dcterms:W3CDTF">2016-12-14T20:19:00Z</dcterms:created>
  <dcterms:modified xsi:type="dcterms:W3CDTF">2017-07-21T12:45:00Z</dcterms:modified>
</cp:coreProperties>
</file>