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E9DC" w14:textId="7CDB6646" w:rsidR="00F615E3" w:rsidRDefault="00930CF4" w:rsidP="00E02B9B">
      <w:pPr>
        <w:pStyle w:val="Otsikko"/>
        <w:spacing w:after="240"/>
        <w:rPr>
          <w:sz w:val="44"/>
        </w:rPr>
      </w:pPr>
      <w:r w:rsidRPr="007B0AA3">
        <w:rPr>
          <w:sz w:val="44"/>
        </w:rPr>
        <w:t>Tarjouspyyntöesimerkki 2.7</w:t>
      </w:r>
      <w:r w:rsidR="003C2DC1" w:rsidRPr="007B0AA3">
        <w:rPr>
          <w:sz w:val="44"/>
        </w:rPr>
        <w:t xml:space="preserve"> – </w:t>
      </w:r>
      <w:r w:rsidRPr="007B0AA3">
        <w:rPr>
          <w:sz w:val="44"/>
        </w:rPr>
        <w:t>Puitejärjestely</w:t>
      </w:r>
      <w:r w:rsidR="003C2DC1" w:rsidRPr="007B0AA3">
        <w:rPr>
          <w:sz w:val="44"/>
        </w:rPr>
        <w:t xml:space="preserve"> EU-kynnysarvon ylittävässä hankinnassa</w:t>
      </w:r>
    </w:p>
    <w:p w14:paraId="07EF8E1C" w14:textId="00B5DF55" w:rsidR="007B0AA3" w:rsidRDefault="007B0AA3" w:rsidP="007B0AA3">
      <w:pPr>
        <w:pStyle w:val="Otsikko"/>
        <w:spacing w:after="240"/>
        <w:rPr>
          <w:sz w:val="28"/>
        </w:rPr>
      </w:pPr>
      <w:r>
        <w:rPr>
          <w:sz w:val="28"/>
        </w:rPr>
        <w:t>Väylä- ja yleisten alueiden suunnittelu- ja asiantuntijapalvelut</w:t>
      </w:r>
    </w:p>
    <w:p w14:paraId="5B419E87" w14:textId="7E2E6742" w:rsidR="003018D7" w:rsidRDefault="003018D7" w:rsidP="003018D7">
      <w:pPr>
        <w:pStyle w:val="Ingressi"/>
      </w:pPr>
      <w:r w:rsidRPr="00514B71">
        <w:t>Tämä tarjouspyyntöesimerkki on kuvassa 1 esitetyn RT-ohjekorttisarjan kortin 2.</w:t>
      </w:r>
      <w:r w:rsidR="00870A18" w:rsidRPr="00514B71">
        <w:t>7</w:t>
      </w:r>
      <w:r w:rsidRPr="00514B71">
        <w:t xml:space="preserve"> käyttöä tukeva linkitetty dokumentti. Tässä liitteillä täydennettävän tarjouspyyntökirjeen mallissa on esimerkkinä </w:t>
      </w:r>
      <w:r w:rsidR="002F2982" w:rsidRPr="00514B71">
        <w:t>väylä- ja yleisten alueiden suunnittelu- ja asiantuntijapalvelut</w:t>
      </w:r>
      <w:r w:rsidRPr="00514B71">
        <w:t>. Tarjouspyyntömalli yhdessä tarvittavien liiteasiakirjojen kanssa täyttää hankintalaissa tarjouspyynnölle määritellyt sisältövaatimukset. Osa tarjouspyynnössä esitettävistä tiedoista tulee esittää myös hankintailmoituksessa tai mahdollisissa lain mukaisissa asiakirjoissa ja tarjouspyynnön liitteissä. Eri tietojen esittämistä koskevat vaatimukset on kuvattu RT-ohjekorttisarjan tason 2 menettelykohtaisissa korteissa hankintamenettelyittäin.</w:t>
      </w:r>
    </w:p>
    <w:p w14:paraId="0706D535" w14:textId="77777777" w:rsidR="00A137E1" w:rsidRDefault="00A137E1" w:rsidP="00A137E1">
      <w:pPr>
        <w:pStyle w:val="Ingressi"/>
        <w:shd w:val="clear" w:color="auto" w:fill="E7E6E6" w:themeFill="background2"/>
        <w:spacing w:after="0" w:line="276" w:lineRule="auto"/>
      </w:pPr>
      <w:r>
        <w:t>Tässä tarjouspyyntöesimerkissä käytetään seuraavia tekstityylejä:</w:t>
      </w:r>
    </w:p>
    <w:p w14:paraId="2C2E1611" w14:textId="77777777" w:rsidR="00A137E1" w:rsidRDefault="00A137E1" w:rsidP="00A137E1">
      <w:pPr>
        <w:pStyle w:val="Ingressi"/>
        <w:shd w:val="clear" w:color="auto" w:fill="E7E6E6" w:themeFill="background2"/>
        <w:spacing w:before="0" w:after="0" w:line="276" w:lineRule="auto"/>
        <w:rPr>
          <w:b w:val="0"/>
        </w:rPr>
      </w:pPr>
      <w:r>
        <w:rPr>
          <w:b w:val="0"/>
        </w:rPr>
        <w:t>Esimerkkiteksti</w:t>
      </w:r>
    </w:p>
    <w:p w14:paraId="553C5240" w14:textId="14BFC254" w:rsidR="00A137E1" w:rsidRPr="00A137E1" w:rsidRDefault="00A137E1" w:rsidP="00A137E1">
      <w:pPr>
        <w:pStyle w:val="Ingressi"/>
        <w:shd w:val="clear" w:color="auto" w:fill="E7E6E6" w:themeFill="background2"/>
        <w:spacing w:before="0" w:line="276" w:lineRule="auto"/>
        <w:rPr>
          <w:b w:val="0"/>
          <w:color w:val="538135" w:themeColor="accent6" w:themeShade="BF"/>
        </w:rPr>
      </w:pPr>
      <w:r w:rsidRPr="00052EDD">
        <w:rPr>
          <w:b w:val="0"/>
          <w:color w:val="538135" w:themeColor="accent6" w:themeShade="BF"/>
        </w:rPr>
        <w:t>Kommentit ja ohjeet</w:t>
      </w:r>
    </w:p>
    <w:p w14:paraId="7F6B90D5" w14:textId="77777777" w:rsidR="003018D7" w:rsidRDefault="003018D7" w:rsidP="003018D7">
      <w:pPr>
        <w:keepNext/>
        <w:jc w:val="center"/>
      </w:pPr>
      <w:r>
        <w:rPr>
          <w:noProof/>
          <w:lang w:eastAsia="fi-FI"/>
        </w:rPr>
        <w:drawing>
          <wp:inline distT="0" distB="0" distL="0" distR="0" wp14:anchorId="24BD664D" wp14:editId="110A5664">
            <wp:extent cx="4238625" cy="3600502"/>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05002" cy="3656886"/>
                    </a:xfrm>
                    <a:prstGeom prst="rect">
                      <a:avLst/>
                    </a:prstGeom>
                  </pic:spPr>
                </pic:pic>
              </a:graphicData>
            </a:graphic>
          </wp:inline>
        </w:drawing>
      </w:r>
    </w:p>
    <w:p w14:paraId="5CA03BE1" w14:textId="77777777" w:rsidR="003018D7" w:rsidRDefault="003018D7" w:rsidP="003018D7">
      <w:pPr>
        <w:pStyle w:val="Kuvaotsikko"/>
      </w:pPr>
      <w:r w:rsidRPr="007E0A05">
        <w:t xml:space="preserve">Kuva </w:t>
      </w:r>
      <w:r w:rsidR="008E1D39" w:rsidRPr="007E0A05">
        <w:fldChar w:fldCharType="begin"/>
      </w:r>
      <w:r w:rsidR="008E1D39" w:rsidRPr="007E0A05">
        <w:instrText xml:space="preserve"> SEQ Kuva \* ARABIC </w:instrText>
      </w:r>
      <w:r w:rsidR="008E1D39" w:rsidRPr="007E0A05">
        <w:fldChar w:fldCharType="separate"/>
      </w:r>
      <w:r w:rsidRPr="007E0A05">
        <w:rPr>
          <w:noProof/>
        </w:rPr>
        <w:t>1</w:t>
      </w:r>
      <w:r w:rsidR="008E1D39" w:rsidRPr="007E0A05">
        <w:rPr>
          <w:noProof/>
        </w:rPr>
        <w:fldChar w:fldCharType="end"/>
      </w:r>
      <w:r w:rsidRPr="007E0A05">
        <w:t xml:space="preserve"> Ohjekorttisarjan rakenne</w:t>
      </w:r>
    </w:p>
    <w:p w14:paraId="0A26145D" w14:textId="77777777" w:rsidR="003018D7" w:rsidRPr="009A0C2D" w:rsidRDefault="003018D7" w:rsidP="003018D7">
      <w:pPr>
        <w:rPr>
          <w:b/>
          <w:sz w:val="18"/>
        </w:rPr>
      </w:pPr>
      <w:r w:rsidRPr="009A0C2D">
        <w:rPr>
          <w:b/>
          <w:sz w:val="18"/>
        </w:rPr>
        <w:t>Sisällysluettelo</w:t>
      </w:r>
    </w:p>
    <w:p w14:paraId="238B77D1" w14:textId="7588AB4F" w:rsidR="001863A2" w:rsidRPr="001863A2" w:rsidRDefault="003018D7">
      <w:pPr>
        <w:pStyle w:val="Sisluet1"/>
        <w:tabs>
          <w:tab w:val="left" w:pos="440"/>
          <w:tab w:val="right" w:leader="dot" w:pos="9628"/>
        </w:tabs>
        <w:rPr>
          <w:rFonts w:eastAsiaTheme="minorEastAsia"/>
          <w:noProof/>
          <w:sz w:val="18"/>
          <w:lang w:eastAsia="fi-FI"/>
        </w:rPr>
      </w:pPr>
      <w:r w:rsidRPr="009A0C2D">
        <w:rPr>
          <w:sz w:val="18"/>
        </w:rPr>
        <w:fldChar w:fldCharType="begin"/>
      </w:r>
      <w:r w:rsidRPr="009A0C2D">
        <w:rPr>
          <w:sz w:val="18"/>
        </w:rPr>
        <w:instrText xml:space="preserve"> TOC \o "1-1" \h \z \u </w:instrText>
      </w:r>
      <w:r w:rsidRPr="009A0C2D">
        <w:rPr>
          <w:sz w:val="18"/>
        </w:rPr>
        <w:fldChar w:fldCharType="separate"/>
      </w:r>
      <w:hyperlink w:anchor="_Toc469578706" w:history="1">
        <w:r w:rsidR="001863A2" w:rsidRPr="001863A2">
          <w:rPr>
            <w:rStyle w:val="Hyperlinkki"/>
            <w:noProof/>
            <w:sz w:val="18"/>
          </w:rPr>
          <w:t>1</w:t>
        </w:r>
        <w:r w:rsidR="001863A2" w:rsidRPr="001863A2">
          <w:rPr>
            <w:rFonts w:eastAsiaTheme="minorEastAsia"/>
            <w:noProof/>
            <w:sz w:val="18"/>
            <w:lang w:eastAsia="fi-FI"/>
          </w:rPr>
          <w:tab/>
        </w:r>
        <w:r w:rsidR="001863A2" w:rsidRPr="001863A2">
          <w:rPr>
            <w:rStyle w:val="Hyperlinkki"/>
            <w:noProof/>
            <w:sz w:val="18"/>
          </w:rPr>
          <w:t>Hankintayksikkö ja yhteyshenkilö</w:t>
        </w:r>
        <w:r w:rsidR="001863A2" w:rsidRPr="001863A2">
          <w:rPr>
            <w:noProof/>
            <w:webHidden/>
            <w:sz w:val="18"/>
          </w:rPr>
          <w:tab/>
        </w:r>
        <w:r w:rsidR="001863A2" w:rsidRPr="001863A2">
          <w:rPr>
            <w:noProof/>
            <w:webHidden/>
            <w:sz w:val="18"/>
          </w:rPr>
          <w:fldChar w:fldCharType="begin"/>
        </w:r>
        <w:r w:rsidR="001863A2" w:rsidRPr="001863A2">
          <w:rPr>
            <w:noProof/>
            <w:webHidden/>
            <w:sz w:val="18"/>
          </w:rPr>
          <w:instrText xml:space="preserve"> PAGEREF _Toc469578706 \h </w:instrText>
        </w:r>
        <w:r w:rsidR="001863A2" w:rsidRPr="001863A2">
          <w:rPr>
            <w:noProof/>
            <w:webHidden/>
            <w:sz w:val="18"/>
          </w:rPr>
        </w:r>
        <w:r w:rsidR="001863A2" w:rsidRPr="001863A2">
          <w:rPr>
            <w:noProof/>
            <w:webHidden/>
            <w:sz w:val="18"/>
          </w:rPr>
          <w:fldChar w:fldCharType="separate"/>
        </w:r>
        <w:r w:rsidR="00C65577">
          <w:rPr>
            <w:noProof/>
            <w:webHidden/>
            <w:sz w:val="18"/>
          </w:rPr>
          <w:t>2</w:t>
        </w:r>
        <w:r w:rsidR="001863A2" w:rsidRPr="001863A2">
          <w:rPr>
            <w:noProof/>
            <w:webHidden/>
            <w:sz w:val="18"/>
          </w:rPr>
          <w:fldChar w:fldCharType="end"/>
        </w:r>
      </w:hyperlink>
    </w:p>
    <w:p w14:paraId="38805502" w14:textId="6610960A" w:rsidR="001863A2" w:rsidRPr="001863A2" w:rsidRDefault="008B516B">
      <w:pPr>
        <w:pStyle w:val="Sisluet1"/>
        <w:tabs>
          <w:tab w:val="left" w:pos="440"/>
          <w:tab w:val="right" w:leader="dot" w:pos="9628"/>
        </w:tabs>
        <w:rPr>
          <w:rFonts w:eastAsiaTheme="minorEastAsia"/>
          <w:noProof/>
          <w:sz w:val="18"/>
          <w:lang w:eastAsia="fi-FI"/>
        </w:rPr>
      </w:pPr>
      <w:hyperlink w:anchor="_Toc469578707" w:history="1">
        <w:r w:rsidR="001863A2" w:rsidRPr="001863A2">
          <w:rPr>
            <w:rStyle w:val="Hyperlinkki"/>
            <w:noProof/>
            <w:sz w:val="18"/>
          </w:rPr>
          <w:t>2</w:t>
        </w:r>
        <w:r w:rsidR="001863A2" w:rsidRPr="001863A2">
          <w:rPr>
            <w:rFonts w:eastAsiaTheme="minorEastAsia"/>
            <w:noProof/>
            <w:sz w:val="18"/>
            <w:lang w:eastAsia="fi-FI"/>
          </w:rPr>
          <w:tab/>
        </w:r>
        <w:r w:rsidR="001863A2" w:rsidRPr="001863A2">
          <w:rPr>
            <w:rStyle w:val="Hyperlinkki"/>
            <w:noProof/>
            <w:sz w:val="18"/>
          </w:rPr>
          <w:t>Hankinnan kohde</w:t>
        </w:r>
        <w:r w:rsidR="001863A2" w:rsidRPr="001863A2">
          <w:rPr>
            <w:noProof/>
            <w:webHidden/>
            <w:sz w:val="18"/>
          </w:rPr>
          <w:tab/>
        </w:r>
        <w:r w:rsidR="001863A2" w:rsidRPr="001863A2">
          <w:rPr>
            <w:noProof/>
            <w:webHidden/>
            <w:sz w:val="18"/>
          </w:rPr>
          <w:fldChar w:fldCharType="begin"/>
        </w:r>
        <w:r w:rsidR="001863A2" w:rsidRPr="001863A2">
          <w:rPr>
            <w:noProof/>
            <w:webHidden/>
            <w:sz w:val="18"/>
          </w:rPr>
          <w:instrText xml:space="preserve"> PAGEREF _Toc469578707 \h </w:instrText>
        </w:r>
        <w:r w:rsidR="001863A2" w:rsidRPr="001863A2">
          <w:rPr>
            <w:noProof/>
            <w:webHidden/>
            <w:sz w:val="18"/>
          </w:rPr>
        </w:r>
        <w:r w:rsidR="001863A2" w:rsidRPr="001863A2">
          <w:rPr>
            <w:noProof/>
            <w:webHidden/>
            <w:sz w:val="18"/>
          </w:rPr>
          <w:fldChar w:fldCharType="separate"/>
        </w:r>
        <w:r w:rsidR="00C65577">
          <w:rPr>
            <w:noProof/>
            <w:webHidden/>
            <w:sz w:val="18"/>
          </w:rPr>
          <w:t>2</w:t>
        </w:r>
        <w:r w:rsidR="001863A2" w:rsidRPr="001863A2">
          <w:rPr>
            <w:noProof/>
            <w:webHidden/>
            <w:sz w:val="18"/>
          </w:rPr>
          <w:fldChar w:fldCharType="end"/>
        </w:r>
      </w:hyperlink>
    </w:p>
    <w:p w14:paraId="2E49FD87" w14:textId="60A77C94" w:rsidR="001863A2" w:rsidRPr="001863A2" w:rsidRDefault="008B516B">
      <w:pPr>
        <w:pStyle w:val="Sisluet1"/>
        <w:tabs>
          <w:tab w:val="left" w:pos="440"/>
          <w:tab w:val="right" w:leader="dot" w:pos="9628"/>
        </w:tabs>
        <w:rPr>
          <w:rFonts w:eastAsiaTheme="minorEastAsia"/>
          <w:noProof/>
          <w:sz w:val="18"/>
          <w:lang w:eastAsia="fi-FI"/>
        </w:rPr>
      </w:pPr>
      <w:hyperlink w:anchor="_Toc469578708" w:history="1">
        <w:r w:rsidR="001863A2" w:rsidRPr="001863A2">
          <w:rPr>
            <w:rStyle w:val="Hyperlinkki"/>
            <w:noProof/>
            <w:sz w:val="18"/>
            <w:lang w:eastAsia="fi-FI"/>
          </w:rPr>
          <w:t>3</w:t>
        </w:r>
        <w:r w:rsidR="001863A2" w:rsidRPr="001863A2">
          <w:rPr>
            <w:rFonts w:eastAsiaTheme="minorEastAsia"/>
            <w:noProof/>
            <w:sz w:val="18"/>
            <w:lang w:eastAsia="fi-FI"/>
          </w:rPr>
          <w:tab/>
        </w:r>
        <w:r w:rsidR="001863A2" w:rsidRPr="001863A2">
          <w:rPr>
            <w:rStyle w:val="Hyperlinkki"/>
            <w:noProof/>
            <w:sz w:val="18"/>
            <w:lang w:eastAsia="fi-FI"/>
          </w:rPr>
          <w:t>Hankintamenettely</w:t>
        </w:r>
        <w:r w:rsidR="001863A2" w:rsidRPr="001863A2">
          <w:rPr>
            <w:noProof/>
            <w:webHidden/>
            <w:sz w:val="18"/>
          </w:rPr>
          <w:tab/>
        </w:r>
        <w:r w:rsidR="001863A2" w:rsidRPr="001863A2">
          <w:rPr>
            <w:noProof/>
            <w:webHidden/>
            <w:sz w:val="18"/>
          </w:rPr>
          <w:fldChar w:fldCharType="begin"/>
        </w:r>
        <w:r w:rsidR="001863A2" w:rsidRPr="001863A2">
          <w:rPr>
            <w:noProof/>
            <w:webHidden/>
            <w:sz w:val="18"/>
          </w:rPr>
          <w:instrText xml:space="preserve"> PAGEREF _Toc469578708 \h </w:instrText>
        </w:r>
        <w:r w:rsidR="001863A2" w:rsidRPr="001863A2">
          <w:rPr>
            <w:noProof/>
            <w:webHidden/>
            <w:sz w:val="18"/>
          </w:rPr>
        </w:r>
        <w:r w:rsidR="001863A2" w:rsidRPr="001863A2">
          <w:rPr>
            <w:noProof/>
            <w:webHidden/>
            <w:sz w:val="18"/>
          </w:rPr>
          <w:fldChar w:fldCharType="separate"/>
        </w:r>
        <w:r w:rsidR="00C65577">
          <w:rPr>
            <w:noProof/>
            <w:webHidden/>
            <w:sz w:val="18"/>
          </w:rPr>
          <w:t>3</w:t>
        </w:r>
        <w:r w:rsidR="001863A2" w:rsidRPr="001863A2">
          <w:rPr>
            <w:noProof/>
            <w:webHidden/>
            <w:sz w:val="18"/>
          </w:rPr>
          <w:fldChar w:fldCharType="end"/>
        </w:r>
      </w:hyperlink>
    </w:p>
    <w:p w14:paraId="678FE8AD" w14:textId="3A58376F" w:rsidR="001863A2" w:rsidRPr="001863A2" w:rsidRDefault="008B516B">
      <w:pPr>
        <w:pStyle w:val="Sisluet1"/>
        <w:tabs>
          <w:tab w:val="left" w:pos="440"/>
          <w:tab w:val="right" w:leader="dot" w:pos="9628"/>
        </w:tabs>
        <w:rPr>
          <w:rFonts w:eastAsiaTheme="minorEastAsia"/>
          <w:noProof/>
          <w:sz w:val="18"/>
          <w:lang w:eastAsia="fi-FI"/>
        </w:rPr>
      </w:pPr>
      <w:hyperlink w:anchor="_Toc469578709" w:history="1">
        <w:r w:rsidR="001863A2" w:rsidRPr="001863A2">
          <w:rPr>
            <w:rStyle w:val="Hyperlinkki"/>
            <w:noProof/>
            <w:sz w:val="18"/>
            <w:lang w:eastAsia="fi-FI"/>
          </w:rPr>
          <w:t>4</w:t>
        </w:r>
        <w:r w:rsidR="001863A2" w:rsidRPr="001863A2">
          <w:rPr>
            <w:rFonts w:eastAsiaTheme="minorEastAsia"/>
            <w:noProof/>
            <w:sz w:val="18"/>
            <w:lang w:eastAsia="fi-FI"/>
          </w:rPr>
          <w:tab/>
        </w:r>
        <w:r w:rsidR="001863A2" w:rsidRPr="001863A2">
          <w:rPr>
            <w:rStyle w:val="Hyperlinkki"/>
            <w:noProof/>
            <w:sz w:val="18"/>
            <w:lang w:eastAsia="fi-FI"/>
          </w:rPr>
          <w:t>Osallistumisvaatimukset</w:t>
        </w:r>
        <w:r w:rsidR="001863A2" w:rsidRPr="001863A2">
          <w:rPr>
            <w:noProof/>
            <w:webHidden/>
            <w:sz w:val="18"/>
          </w:rPr>
          <w:tab/>
        </w:r>
        <w:r w:rsidR="001863A2" w:rsidRPr="001863A2">
          <w:rPr>
            <w:noProof/>
            <w:webHidden/>
            <w:sz w:val="18"/>
          </w:rPr>
          <w:fldChar w:fldCharType="begin"/>
        </w:r>
        <w:r w:rsidR="001863A2" w:rsidRPr="001863A2">
          <w:rPr>
            <w:noProof/>
            <w:webHidden/>
            <w:sz w:val="18"/>
          </w:rPr>
          <w:instrText xml:space="preserve"> PAGEREF _Toc469578709 \h </w:instrText>
        </w:r>
        <w:r w:rsidR="001863A2" w:rsidRPr="001863A2">
          <w:rPr>
            <w:noProof/>
            <w:webHidden/>
            <w:sz w:val="18"/>
          </w:rPr>
        </w:r>
        <w:r w:rsidR="001863A2" w:rsidRPr="001863A2">
          <w:rPr>
            <w:noProof/>
            <w:webHidden/>
            <w:sz w:val="18"/>
          </w:rPr>
          <w:fldChar w:fldCharType="separate"/>
        </w:r>
        <w:r w:rsidR="00C65577">
          <w:rPr>
            <w:noProof/>
            <w:webHidden/>
            <w:sz w:val="18"/>
          </w:rPr>
          <w:t>4</w:t>
        </w:r>
        <w:r w:rsidR="001863A2" w:rsidRPr="001863A2">
          <w:rPr>
            <w:noProof/>
            <w:webHidden/>
            <w:sz w:val="18"/>
          </w:rPr>
          <w:fldChar w:fldCharType="end"/>
        </w:r>
      </w:hyperlink>
    </w:p>
    <w:p w14:paraId="16DE1D60" w14:textId="4EAD70D1" w:rsidR="001863A2" w:rsidRPr="001863A2" w:rsidRDefault="008B516B">
      <w:pPr>
        <w:pStyle w:val="Sisluet1"/>
        <w:tabs>
          <w:tab w:val="left" w:pos="440"/>
          <w:tab w:val="right" w:leader="dot" w:pos="9628"/>
        </w:tabs>
        <w:rPr>
          <w:rFonts w:eastAsiaTheme="minorEastAsia"/>
          <w:noProof/>
          <w:sz w:val="18"/>
          <w:lang w:eastAsia="fi-FI"/>
        </w:rPr>
      </w:pPr>
      <w:hyperlink w:anchor="_Toc469578710" w:history="1">
        <w:r w:rsidR="001863A2" w:rsidRPr="001863A2">
          <w:rPr>
            <w:rStyle w:val="Hyperlinkki"/>
            <w:noProof/>
            <w:sz w:val="18"/>
          </w:rPr>
          <w:t>5</w:t>
        </w:r>
        <w:r w:rsidR="001863A2" w:rsidRPr="001863A2">
          <w:rPr>
            <w:rFonts w:eastAsiaTheme="minorEastAsia"/>
            <w:noProof/>
            <w:sz w:val="18"/>
            <w:lang w:eastAsia="fi-FI"/>
          </w:rPr>
          <w:tab/>
        </w:r>
        <w:r w:rsidR="001863A2" w:rsidRPr="001863A2">
          <w:rPr>
            <w:rStyle w:val="Hyperlinkki"/>
            <w:noProof/>
            <w:sz w:val="18"/>
          </w:rPr>
          <w:t>Tarjouksen sisältö ja jättäminen</w:t>
        </w:r>
        <w:r w:rsidR="001863A2" w:rsidRPr="001863A2">
          <w:rPr>
            <w:noProof/>
            <w:webHidden/>
            <w:sz w:val="18"/>
          </w:rPr>
          <w:tab/>
        </w:r>
        <w:r w:rsidR="001863A2" w:rsidRPr="001863A2">
          <w:rPr>
            <w:noProof/>
            <w:webHidden/>
            <w:sz w:val="18"/>
          </w:rPr>
          <w:fldChar w:fldCharType="begin"/>
        </w:r>
        <w:r w:rsidR="001863A2" w:rsidRPr="001863A2">
          <w:rPr>
            <w:noProof/>
            <w:webHidden/>
            <w:sz w:val="18"/>
          </w:rPr>
          <w:instrText xml:space="preserve"> PAGEREF _Toc469578710 \h </w:instrText>
        </w:r>
        <w:r w:rsidR="001863A2" w:rsidRPr="001863A2">
          <w:rPr>
            <w:noProof/>
            <w:webHidden/>
            <w:sz w:val="18"/>
          </w:rPr>
        </w:r>
        <w:r w:rsidR="001863A2" w:rsidRPr="001863A2">
          <w:rPr>
            <w:noProof/>
            <w:webHidden/>
            <w:sz w:val="18"/>
          </w:rPr>
          <w:fldChar w:fldCharType="separate"/>
        </w:r>
        <w:r w:rsidR="00C65577">
          <w:rPr>
            <w:noProof/>
            <w:webHidden/>
            <w:sz w:val="18"/>
          </w:rPr>
          <w:t>6</w:t>
        </w:r>
        <w:r w:rsidR="001863A2" w:rsidRPr="001863A2">
          <w:rPr>
            <w:noProof/>
            <w:webHidden/>
            <w:sz w:val="18"/>
          </w:rPr>
          <w:fldChar w:fldCharType="end"/>
        </w:r>
      </w:hyperlink>
    </w:p>
    <w:p w14:paraId="6219AE42" w14:textId="6AEA9A92" w:rsidR="001863A2" w:rsidRPr="001863A2" w:rsidRDefault="008B516B">
      <w:pPr>
        <w:pStyle w:val="Sisluet1"/>
        <w:tabs>
          <w:tab w:val="left" w:pos="440"/>
          <w:tab w:val="right" w:leader="dot" w:pos="9628"/>
        </w:tabs>
        <w:rPr>
          <w:rFonts w:eastAsiaTheme="minorEastAsia"/>
          <w:noProof/>
          <w:sz w:val="18"/>
          <w:lang w:eastAsia="fi-FI"/>
        </w:rPr>
      </w:pPr>
      <w:hyperlink w:anchor="_Toc469578711" w:history="1">
        <w:r w:rsidR="001863A2" w:rsidRPr="001863A2">
          <w:rPr>
            <w:rStyle w:val="Hyperlinkki"/>
            <w:noProof/>
            <w:sz w:val="18"/>
          </w:rPr>
          <w:t>6</w:t>
        </w:r>
        <w:r w:rsidR="001863A2" w:rsidRPr="001863A2">
          <w:rPr>
            <w:rFonts w:eastAsiaTheme="minorEastAsia"/>
            <w:noProof/>
            <w:sz w:val="18"/>
            <w:lang w:eastAsia="fi-FI"/>
          </w:rPr>
          <w:tab/>
        </w:r>
        <w:r w:rsidR="001863A2" w:rsidRPr="001863A2">
          <w:rPr>
            <w:rStyle w:val="Hyperlinkki"/>
            <w:noProof/>
            <w:sz w:val="18"/>
          </w:rPr>
          <w:t>Tarjousten käsittely</w:t>
        </w:r>
        <w:r w:rsidR="001863A2" w:rsidRPr="001863A2">
          <w:rPr>
            <w:noProof/>
            <w:webHidden/>
            <w:sz w:val="18"/>
          </w:rPr>
          <w:tab/>
        </w:r>
        <w:r w:rsidR="001863A2" w:rsidRPr="001863A2">
          <w:rPr>
            <w:noProof/>
            <w:webHidden/>
            <w:sz w:val="18"/>
          </w:rPr>
          <w:fldChar w:fldCharType="begin"/>
        </w:r>
        <w:r w:rsidR="001863A2" w:rsidRPr="001863A2">
          <w:rPr>
            <w:noProof/>
            <w:webHidden/>
            <w:sz w:val="18"/>
          </w:rPr>
          <w:instrText xml:space="preserve"> PAGEREF _Toc469578711 \h </w:instrText>
        </w:r>
        <w:r w:rsidR="001863A2" w:rsidRPr="001863A2">
          <w:rPr>
            <w:noProof/>
            <w:webHidden/>
            <w:sz w:val="18"/>
          </w:rPr>
        </w:r>
        <w:r w:rsidR="001863A2" w:rsidRPr="001863A2">
          <w:rPr>
            <w:noProof/>
            <w:webHidden/>
            <w:sz w:val="18"/>
          </w:rPr>
          <w:fldChar w:fldCharType="separate"/>
        </w:r>
        <w:r w:rsidR="00C65577">
          <w:rPr>
            <w:noProof/>
            <w:webHidden/>
            <w:sz w:val="18"/>
          </w:rPr>
          <w:t>7</w:t>
        </w:r>
        <w:r w:rsidR="001863A2" w:rsidRPr="001863A2">
          <w:rPr>
            <w:noProof/>
            <w:webHidden/>
            <w:sz w:val="18"/>
          </w:rPr>
          <w:fldChar w:fldCharType="end"/>
        </w:r>
      </w:hyperlink>
    </w:p>
    <w:p w14:paraId="0E3F17A2" w14:textId="2DAB5EB0" w:rsidR="001863A2" w:rsidRPr="001863A2" w:rsidRDefault="008B516B">
      <w:pPr>
        <w:pStyle w:val="Sisluet1"/>
        <w:tabs>
          <w:tab w:val="left" w:pos="440"/>
          <w:tab w:val="right" w:leader="dot" w:pos="9628"/>
        </w:tabs>
        <w:rPr>
          <w:rFonts w:eastAsiaTheme="minorEastAsia"/>
          <w:noProof/>
          <w:sz w:val="18"/>
          <w:lang w:eastAsia="fi-FI"/>
        </w:rPr>
      </w:pPr>
      <w:hyperlink w:anchor="_Toc469578712" w:history="1">
        <w:r w:rsidR="001863A2" w:rsidRPr="001863A2">
          <w:rPr>
            <w:rStyle w:val="Hyperlinkki"/>
            <w:noProof/>
            <w:sz w:val="18"/>
          </w:rPr>
          <w:t>7</w:t>
        </w:r>
        <w:r w:rsidR="001863A2" w:rsidRPr="001863A2">
          <w:rPr>
            <w:rFonts w:eastAsiaTheme="minorEastAsia"/>
            <w:noProof/>
            <w:sz w:val="18"/>
            <w:lang w:eastAsia="fi-FI"/>
          </w:rPr>
          <w:tab/>
        </w:r>
        <w:r w:rsidR="001863A2" w:rsidRPr="001863A2">
          <w:rPr>
            <w:rStyle w:val="Hyperlinkki"/>
            <w:noProof/>
            <w:sz w:val="18"/>
          </w:rPr>
          <w:t>Sopimusehdot</w:t>
        </w:r>
        <w:r w:rsidR="001863A2" w:rsidRPr="001863A2">
          <w:rPr>
            <w:noProof/>
            <w:webHidden/>
            <w:sz w:val="18"/>
          </w:rPr>
          <w:tab/>
        </w:r>
        <w:r w:rsidR="001863A2" w:rsidRPr="001863A2">
          <w:rPr>
            <w:noProof/>
            <w:webHidden/>
            <w:sz w:val="18"/>
          </w:rPr>
          <w:fldChar w:fldCharType="begin"/>
        </w:r>
        <w:r w:rsidR="001863A2" w:rsidRPr="001863A2">
          <w:rPr>
            <w:noProof/>
            <w:webHidden/>
            <w:sz w:val="18"/>
          </w:rPr>
          <w:instrText xml:space="preserve"> PAGEREF _Toc469578712 \h </w:instrText>
        </w:r>
        <w:r w:rsidR="001863A2" w:rsidRPr="001863A2">
          <w:rPr>
            <w:noProof/>
            <w:webHidden/>
            <w:sz w:val="18"/>
          </w:rPr>
        </w:r>
        <w:r w:rsidR="001863A2" w:rsidRPr="001863A2">
          <w:rPr>
            <w:noProof/>
            <w:webHidden/>
            <w:sz w:val="18"/>
          </w:rPr>
          <w:fldChar w:fldCharType="separate"/>
        </w:r>
        <w:r w:rsidR="00C65577">
          <w:rPr>
            <w:noProof/>
            <w:webHidden/>
            <w:sz w:val="18"/>
          </w:rPr>
          <w:t>8</w:t>
        </w:r>
        <w:r w:rsidR="001863A2" w:rsidRPr="001863A2">
          <w:rPr>
            <w:noProof/>
            <w:webHidden/>
            <w:sz w:val="18"/>
          </w:rPr>
          <w:fldChar w:fldCharType="end"/>
        </w:r>
      </w:hyperlink>
    </w:p>
    <w:p w14:paraId="257A6CC8" w14:textId="4C7FCAB7" w:rsidR="001863A2" w:rsidRPr="001863A2" w:rsidRDefault="008B516B">
      <w:pPr>
        <w:pStyle w:val="Sisluet1"/>
        <w:tabs>
          <w:tab w:val="left" w:pos="440"/>
          <w:tab w:val="right" w:leader="dot" w:pos="9628"/>
        </w:tabs>
        <w:rPr>
          <w:rFonts w:eastAsiaTheme="minorEastAsia"/>
          <w:noProof/>
          <w:sz w:val="18"/>
          <w:lang w:eastAsia="fi-FI"/>
        </w:rPr>
      </w:pPr>
      <w:hyperlink w:anchor="_Toc469578713" w:history="1">
        <w:r w:rsidR="001863A2" w:rsidRPr="001863A2">
          <w:rPr>
            <w:rStyle w:val="Hyperlinkki"/>
            <w:noProof/>
            <w:sz w:val="18"/>
          </w:rPr>
          <w:t>8</w:t>
        </w:r>
        <w:r w:rsidR="001863A2" w:rsidRPr="001863A2">
          <w:rPr>
            <w:rFonts w:eastAsiaTheme="minorEastAsia"/>
            <w:noProof/>
            <w:sz w:val="18"/>
            <w:lang w:eastAsia="fi-FI"/>
          </w:rPr>
          <w:tab/>
        </w:r>
        <w:r w:rsidR="001863A2" w:rsidRPr="001863A2">
          <w:rPr>
            <w:rStyle w:val="Hyperlinkki"/>
            <w:noProof/>
            <w:sz w:val="18"/>
          </w:rPr>
          <w:t>Lisätiedot</w:t>
        </w:r>
        <w:r w:rsidR="001863A2" w:rsidRPr="001863A2">
          <w:rPr>
            <w:noProof/>
            <w:webHidden/>
            <w:sz w:val="18"/>
          </w:rPr>
          <w:tab/>
        </w:r>
        <w:r w:rsidR="001863A2" w:rsidRPr="001863A2">
          <w:rPr>
            <w:noProof/>
            <w:webHidden/>
            <w:sz w:val="18"/>
          </w:rPr>
          <w:fldChar w:fldCharType="begin"/>
        </w:r>
        <w:r w:rsidR="001863A2" w:rsidRPr="001863A2">
          <w:rPr>
            <w:noProof/>
            <w:webHidden/>
            <w:sz w:val="18"/>
          </w:rPr>
          <w:instrText xml:space="preserve"> PAGEREF _Toc469578713 \h </w:instrText>
        </w:r>
        <w:r w:rsidR="001863A2" w:rsidRPr="001863A2">
          <w:rPr>
            <w:noProof/>
            <w:webHidden/>
            <w:sz w:val="18"/>
          </w:rPr>
        </w:r>
        <w:r w:rsidR="001863A2" w:rsidRPr="001863A2">
          <w:rPr>
            <w:noProof/>
            <w:webHidden/>
            <w:sz w:val="18"/>
          </w:rPr>
          <w:fldChar w:fldCharType="separate"/>
        </w:r>
        <w:r w:rsidR="00C65577">
          <w:rPr>
            <w:noProof/>
            <w:webHidden/>
            <w:sz w:val="18"/>
          </w:rPr>
          <w:t>10</w:t>
        </w:r>
        <w:r w:rsidR="001863A2" w:rsidRPr="001863A2">
          <w:rPr>
            <w:noProof/>
            <w:webHidden/>
            <w:sz w:val="18"/>
          </w:rPr>
          <w:fldChar w:fldCharType="end"/>
        </w:r>
      </w:hyperlink>
    </w:p>
    <w:p w14:paraId="64AC00B5" w14:textId="122E7C9C" w:rsidR="001863A2" w:rsidRPr="001863A2" w:rsidRDefault="008B516B">
      <w:pPr>
        <w:pStyle w:val="Sisluet1"/>
        <w:tabs>
          <w:tab w:val="left" w:pos="440"/>
          <w:tab w:val="right" w:leader="dot" w:pos="9628"/>
        </w:tabs>
        <w:rPr>
          <w:rFonts w:eastAsiaTheme="minorEastAsia"/>
          <w:noProof/>
          <w:sz w:val="18"/>
          <w:lang w:eastAsia="fi-FI"/>
        </w:rPr>
      </w:pPr>
      <w:hyperlink w:anchor="_Toc469578714" w:history="1">
        <w:r w:rsidR="001863A2" w:rsidRPr="001863A2">
          <w:rPr>
            <w:rStyle w:val="Hyperlinkki"/>
            <w:noProof/>
            <w:sz w:val="18"/>
          </w:rPr>
          <w:t>9</w:t>
        </w:r>
        <w:r w:rsidR="001863A2" w:rsidRPr="001863A2">
          <w:rPr>
            <w:rFonts w:eastAsiaTheme="minorEastAsia"/>
            <w:noProof/>
            <w:sz w:val="18"/>
            <w:lang w:eastAsia="fi-FI"/>
          </w:rPr>
          <w:tab/>
        </w:r>
        <w:r w:rsidR="001863A2" w:rsidRPr="001863A2">
          <w:rPr>
            <w:rStyle w:val="Hyperlinkki"/>
            <w:noProof/>
            <w:sz w:val="18"/>
          </w:rPr>
          <w:t>Liitteet</w:t>
        </w:r>
        <w:r w:rsidR="001863A2" w:rsidRPr="001863A2">
          <w:rPr>
            <w:noProof/>
            <w:webHidden/>
            <w:sz w:val="18"/>
          </w:rPr>
          <w:tab/>
        </w:r>
        <w:r w:rsidR="001863A2" w:rsidRPr="001863A2">
          <w:rPr>
            <w:noProof/>
            <w:webHidden/>
            <w:sz w:val="18"/>
          </w:rPr>
          <w:fldChar w:fldCharType="begin"/>
        </w:r>
        <w:r w:rsidR="001863A2" w:rsidRPr="001863A2">
          <w:rPr>
            <w:noProof/>
            <w:webHidden/>
            <w:sz w:val="18"/>
          </w:rPr>
          <w:instrText xml:space="preserve"> PAGEREF _Toc469578714 \h </w:instrText>
        </w:r>
        <w:r w:rsidR="001863A2" w:rsidRPr="001863A2">
          <w:rPr>
            <w:noProof/>
            <w:webHidden/>
            <w:sz w:val="18"/>
          </w:rPr>
        </w:r>
        <w:r w:rsidR="001863A2" w:rsidRPr="001863A2">
          <w:rPr>
            <w:noProof/>
            <w:webHidden/>
            <w:sz w:val="18"/>
          </w:rPr>
          <w:fldChar w:fldCharType="separate"/>
        </w:r>
        <w:r w:rsidR="00C65577">
          <w:rPr>
            <w:noProof/>
            <w:webHidden/>
            <w:sz w:val="18"/>
          </w:rPr>
          <w:t>10</w:t>
        </w:r>
        <w:r w:rsidR="001863A2" w:rsidRPr="001863A2">
          <w:rPr>
            <w:noProof/>
            <w:webHidden/>
            <w:sz w:val="18"/>
          </w:rPr>
          <w:fldChar w:fldCharType="end"/>
        </w:r>
      </w:hyperlink>
    </w:p>
    <w:p w14:paraId="61973FC9" w14:textId="5B8B2233" w:rsidR="002F2982" w:rsidRPr="00CE1A44" w:rsidRDefault="003018D7" w:rsidP="003018D7">
      <w:pPr>
        <w:rPr>
          <w:sz w:val="18"/>
        </w:rPr>
        <w:sectPr w:rsidR="002F2982" w:rsidRPr="00CE1A44" w:rsidSect="00CC53DF">
          <w:headerReference w:type="default" r:id="rId8"/>
          <w:pgSz w:w="11906" w:h="16838"/>
          <w:pgMar w:top="1417" w:right="1134" w:bottom="1417" w:left="1134" w:header="708" w:footer="708" w:gutter="0"/>
          <w:cols w:space="708"/>
          <w:docGrid w:linePitch="360"/>
        </w:sectPr>
      </w:pPr>
      <w:r w:rsidRPr="009A0C2D">
        <w:rPr>
          <w:sz w:val="18"/>
        </w:rPr>
        <w:fldChar w:fldCharType="end"/>
      </w:r>
    </w:p>
    <w:p w14:paraId="24379423" w14:textId="0BF8C481" w:rsidR="00FE5798" w:rsidRPr="003018D7" w:rsidRDefault="005524C1" w:rsidP="003018D7">
      <w:pPr>
        <w:rPr>
          <w:sz w:val="18"/>
        </w:rPr>
      </w:pPr>
      <w:r w:rsidRPr="005524C1">
        <w:lastRenderedPageBreak/>
        <w:t xml:space="preserve">Pyydämme tarjoustanne </w:t>
      </w:r>
      <w:r w:rsidR="00AA311A">
        <w:t xml:space="preserve">yksilöimättömistä, vuosille </w:t>
      </w:r>
      <w:r w:rsidR="001215C8">
        <w:t>2017 ja 2018</w:t>
      </w:r>
      <w:r w:rsidR="00AA311A">
        <w:t xml:space="preserve"> ajoittuvista </w:t>
      </w:r>
      <w:r w:rsidR="00AA311A" w:rsidRPr="005D334D">
        <w:t>väylä- ja yleisten alueiden suunnittelu- ja asiantuntijapalveluista</w:t>
      </w:r>
      <w:r w:rsidRPr="005D334D">
        <w:t xml:space="preserve"> </w:t>
      </w:r>
      <w:r w:rsidRPr="005524C1">
        <w:t>tämän tarjouspyynnön ja</w:t>
      </w:r>
      <w:r w:rsidR="008A54A6">
        <w:t xml:space="preserve"> sen</w:t>
      </w:r>
      <w:r w:rsidRPr="005524C1">
        <w:t xml:space="preserve"> liitteenä olevien asiakirjojen mukaisesti. </w:t>
      </w:r>
    </w:p>
    <w:p w14:paraId="033AB5E5" w14:textId="77777777" w:rsidR="00FE5798" w:rsidRDefault="00FE5798" w:rsidP="00BC386B">
      <w:r>
        <w:t>Tämän hankintaprosessin perusteella valitaan ne palvelutoimittajat, joiden kanssa solmitaan em. palvelujen tuottamisesta kaksivuotinen sopimus (hankintalain 42 §:ssä tarkoitettu puitejärjestely)</w:t>
      </w:r>
      <w:r w:rsidR="002347F2">
        <w:t>.</w:t>
      </w:r>
      <w:r w:rsidR="00025CF5">
        <w:t xml:space="preserve"> Sopimuksen arvioitu alkamisaika on pp.kk.vvvv</w:t>
      </w:r>
      <w:r w:rsidR="009B2C02">
        <w:t xml:space="preserve"> ja sopimus päättyy pp.kk.vvvv.</w:t>
      </w:r>
      <w:r w:rsidR="001943A0">
        <w:t xml:space="preserve"> Sopimukseen sisältyy kaksi optiovuotta </w:t>
      </w:r>
      <w:r w:rsidR="005971BF">
        <w:t>(</w:t>
      </w:r>
      <w:r w:rsidR="001943A0">
        <w:t>2019 ja 2020</w:t>
      </w:r>
      <w:r w:rsidR="005971BF">
        <w:t>)</w:t>
      </w:r>
      <w:r w:rsidR="001943A0">
        <w:t>.</w:t>
      </w:r>
    </w:p>
    <w:p w14:paraId="7E60C7FD" w14:textId="03C31304" w:rsidR="00BC386B" w:rsidRDefault="00571E3D" w:rsidP="00BC386B">
      <w:r>
        <w:t>Puitejärjestelyn</w:t>
      </w:r>
      <w:r w:rsidR="00562735">
        <w:t xml:space="preserve"> ennakoitu arvo ylittää hankintalain 26 §:</w:t>
      </w:r>
      <w:r w:rsidR="00E02B9B">
        <w:t xml:space="preserve">ssä tarkoitetun EU-kynnysarvon. </w:t>
      </w:r>
      <w:r w:rsidR="00D64031">
        <w:t>Hankintamenettelynä</w:t>
      </w:r>
      <w:r>
        <w:t xml:space="preserve"> puitejärjestelyn perustamiseen</w:t>
      </w:r>
      <w:r w:rsidR="00D64031">
        <w:t xml:space="preserve"> käytetään hankintalain </w:t>
      </w:r>
      <w:r w:rsidR="00E7341C" w:rsidRPr="00C80CF9">
        <w:t>32</w:t>
      </w:r>
      <w:r w:rsidR="00D64031" w:rsidRPr="00C80CF9">
        <w:t xml:space="preserve"> §:ssä tarkoitettua </w:t>
      </w:r>
      <w:r w:rsidR="00E7341C" w:rsidRPr="00C80CF9">
        <w:t>avointa</w:t>
      </w:r>
      <w:r w:rsidR="00D64031" w:rsidRPr="00C80CF9">
        <w:t xml:space="preserve"> menettelyä.</w:t>
      </w:r>
      <w:r w:rsidR="00D56DF9" w:rsidRPr="00C80CF9">
        <w:t xml:space="preserve"> </w:t>
      </w:r>
      <w:r w:rsidR="005524C1" w:rsidRPr="005524C1">
        <w:t>Hankintai</w:t>
      </w:r>
      <w:r w:rsidR="002426DB">
        <w:t>lmoitus on julkaistu HILMA:ssa pp.kk</w:t>
      </w:r>
      <w:r w:rsidR="005524C1" w:rsidRPr="005524C1">
        <w:t>.</w:t>
      </w:r>
      <w:r w:rsidR="002426DB">
        <w:t>vvvv.</w:t>
      </w:r>
    </w:p>
    <w:p w14:paraId="61E51EC9" w14:textId="77777777" w:rsidR="005524C1" w:rsidRDefault="005524C1" w:rsidP="005524C1">
      <w:pPr>
        <w:pStyle w:val="Otsikko1"/>
      </w:pPr>
      <w:bookmarkStart w:id="0" w:name="_Toc469578706"/>
      <w:r w:rsidRPr="005524C1">
        <w:t>Hankintayksikkö</w:t>
      </w:r>
      <w:r>
        <w:t xml:space="preserve"> ja yhteyshenkilö</w:t>
      </w:r>
      <w:bookmarkEnd w:id="0"/>
    </w:p>
    <w:p w14:paraId="2DDAE8C0" w14:textId="77777777" w:rsidR="005524C1" w:rsidRDefault="005524C1" w:rsidP="005524C1">
      <w:pPr>
        <w:spacing w:after="0"/>
      </w:pPr>
      <w:r>
        <w:t>Kuntalan tilapalvelukeskus</w:t>
      </w:r>
    </w:p>
    <w:p w14:paraId="421FDE86" w14:textId="77777777" w:rsidR="005524C1" w:rsidRDefault="005524C1" w:rsidP="005524C1">
      <w:pPr>
        <w:spacing w:after="0"/>
      </w:pPr>
      <w:r>
        <w:t>Kauppakatu 1A, 00000 Kuntala</w:t>
      </w:r>
    </w:p>
    <w:p w14:paraId="5BA88D2D" w14:textId="77777777" w:rsidR="005524C1" w:rsidRDefault="005524C1" w:rsidP="005524C1">
      <w:pPr>
        <w:spacing w:after="0"/>
      </w:pPr>
      <w:r>
        <w:t>Yhteyshenkilö: rakennuspäällikkö Raimo Rakennuttaja</w:t>
      </w:r>
    </w:p>
    <w:p w14:paraId="6C3CD0A9" w14:textId="77777777" w:rsidR="005524C1" w:rsidRDefault="005524C1" w:rsidP="005524C1">
      <w:pPr>
        <w:spacing w:after="0"/>
      </w:pPr>
      <w:r>
        <w:t>Puhelin 555 123 456, sähköposti: raimo.rakennuttaja@kuntala.fi</w:t>
      </w:r>
    </w:p>
    <w:p w14:paraId="741DD103" w14:textId="77777777" w:rsidR="005524C1" w:rsidRDefault="005524C1" w:rsidP="005524C1">
      <w:pPr>
        <w:spacing w:after="0"/>
      </w:pPr>
      <w:r>
        <w:t>Kuntala on kunta Länsi-Suomessa. Kunnan rakennuttamisesta vastaa tilapalvelukeskus.</w:t>
      </w:r>
    </w:p>
    <w:p w14:paraId="36E85667" w14:textId="77777777" w:rsidR="00EA016C" w:rsidRDefault="00FE53F1" w:rsidP="00EA016C">
      <w:pPr>
        <w:pStyle w:val="Otsikko1"/>
      </w:pPr>
      <w:bookmarkStart w:id="1" w:name="_Toc469578707"/>
      <w:r>
        <w:t>Hankinnan kohde</w:t>
      </w:r>
      <w:bookmarkEnd w:id="1"/>
    </w:p>
    <w:p w14:paraId="0A478011" w14:textId="51BE9F08" w:rsidR="00D2228B" w:rsidRDefault="00D2228B" w:rsidP="00D2228B">
      <w:r>
        <w:t>Tarjouskilpailun perusteella solmitaan kolmeen (3) eri tehtävään puitesopimus. Tehtävät jakautuvat seuraavasti</w:t>
      </w:r>
    </w:p>
    <w:p w14:paraId="7408CD10" w14:textId="77777777" w:rsidR="00D2228B" w:rsidRDefault="00D5626A" w:rsidP="00D2228B">
      <w:pPr>
        <w:pStyle w:val="Luettelokappale"/>
        <w:numPr>
          <w:ilvl w:val="0"/>
          <w:numId w:val="18"/>
        </w:numPr>
      </w:pPr>
      <w:r>
        <w:t>Katu- ja vesihuollon s</w:t>
      </w:r>
      <w:r w:rsidR="00D2228B">
        <w:t>uunnittelukokonaisuudet</w:t>
      </w:r>
    </w:p>
    <w:p w14:paraId="10AFC432" w14:textId="77777777" w:rsidR="00D2228B" w:rsidRDefault="00D2228B" w:rsidP="00D2228B">
      <w:pPr>
        <w:pStyle w:val="Luettelokappale"/>
        <w:numPr>
          <w:ilvl w:val="1"/>
          <w:numId w:val="18"/>
        </w:numPr>
      </w:pPr>
      <w:r>
        <w:t>neljä (4) sopimustoimittajaa</w:t>
      </w:r>
    </w:p>
    <w:p w14:paraId="42065C80" w14:textId="77777777" w:rsidR="00B9457E" w:rsidRDefault="00B9457E" w:rsidP="00B9457E">
      <w:pPr>
        <w:pStyle w:val="Luettelokappale"/>
        <w:numPr>
          <w:ilvl w:val="0"/>
          <w:numId w:val="18"/>
        </w:numPr>
      </w:pPr>
      <w:r>
        <w:t>Puisto- ja vihersuunnittelu</w:t>
      </w:r>
    </w:p>
    <w:p w14:paraId="09176608" w14:textId="77777777" w:rsidR="00B9457E" w:rsidRDefault="00B9457E" w:rsidP="00B9457E">
      <w:pPr>
        <w:pStyle w:val="Luettelokappale"/>
        <w:numPr>
          <w:ilvl w:val="1"/>
          <w:numId w:val="18"/>
        </w:numPr>
      </w:pPr>
      <w:r>
        <w:t>neljä (4) sopimustoimittajaa</w:t>
      </w:r>
    </w:p>
    <w:p w14:paraId="61B1F7FA" w14:textId="7C1EE99B" w:rsidR="00D2228B" w:rsidRDefault="00D2228B" w:rsidP="00D2228B">
      <w:pPr>
        <w:pStyle w:val="Luettelokappale"/>
        <w:numPr>
          <w:ilvl w:val="0"/>
          <w:numId w:val="18"/>
        </w:numPr>
      </w:pPr>
      <w:r>
        <w:t xml:space="preserve">Monialaiset </w:t>
      </w:r>
      <w:r w:rsidR="00AF3382">
        <w:t>suunnittelukokonaisuudet (sis. taitorakenteet</w:t>
      </w:r>
      <w:r w:rsidR="00833BFC">
        <w:t>, pohjarakenn</w:t>
      </w:r>
      <w:r w:rsidR="00C20DAE">
        <w:t>us</w:t>
      </w:r>
      <w:r w:rsidR="00B9457E">
        <w:t>suun</w:t>
      </w:r>
      <w:r w:rsidR="00C20DAE">
        <w:t>n</w:t>
      </w:r>
      <w:r w:rsidR="00B9457E">
        <w:t>ittelu</w:t>
      </w:r>
      <w:r w:rsidR="00AF3382">
        <w:t>)</w:t>
      </w:r>
    </w:p>
    <w:p w14:paraId="03831F12" w14:textId="77777777" w:rsidR="00D2228B" w:rsidRDefault="00D2228B" w:rsidP="00D2228B">
      <w:pPr>
        <w:pStyle w:val="Luettelokappale"/>
        <w:numPr>
          <w:ilvl w:val="1"/>
          <w:numId w:val="18"/>
        </w:numPr>
      </w:pPr>
      <w:r>
        <w:t>neljä (4) sopimustoimittajaa</w:t>
      </w:r>
    </w:p>
    <w:p w14:paraId="584BA292" w14:textId="77777777" w:rsidR="009D6C82" w:rsidRDefault="009D6C82" w:rsidP="009D6C82">
      <w:pPr>
        <w:pStyle w:val="Otsikko2"/>
      </w:pPr>
      <w:r>
        <w:t>Tehtävä 1 ”Suunnittelukokonaisuudet</w:t>
      </w:r>
      <w:r w:rsidR="00C336E8">
        <w:t>”</w:t>
      </w:r>
    </w:p>
    <w:p w14:paraId="68A89B3F" w14:textId="028D5DA1" w:rsidR="009D6C82" w:rsidRDefault="009D6C82" w:rsidP="009D6C82">
      <w:r>
        <w:t xml:space="preserve">Tehtävä sisältää katujen ja niihin liittyvien liikennejärjestelyiden sekä vesihuoltoverkostojen rakennussuunnittelua. Pääsääntöisesti toimeksiantoihin sisältyy myös vesihuollon kaivanto- ja pohjarakennussuunnittelua. </w:t>
      </w:r>
      <w:r w:rsidR="00BD5905">
        <w:t xml:space="preserve">Toimeksiannot ovat yleisesti </w:t>
      </w:r>
      <w:r w:rsidR="00BE299D">
        <w:t>liikennejärjestelmäsuunnitelmiin liittyviä katu- ja rakennussuunnitelmia. Toimeksiantoon voi kuulua toisen suunnittelijan laatimien suunnitelmien tarkastamisen tehtäviä.</w:t>
      </w:r>
    </w:p>
    <w:p w14:paraId="2758A26B" w14:textId="77777777" w:rsidR="00261BB8" w:rsidRDefault="00261BB8" w:rsidP="00261BB8">
      <w:pPr>
        <w:pStyle w:val="Otsikko2"/>
      </w:pPr>
      <w:r>
        <w:t>Puisto- ja vihersuunnittelu</w:t>
      </w:r>
    </w:p>
    <w:p w14:paraId="27455B24" w14:textId="6C9D90BF" w:rsidR="00D84D20" w:rsidRDefault="00D84D20" w:rsidP="00743B1D">
      <w:r>
        <w:t xml:space="preserve">Tehtävä sisältää puisto- ja viheralueiden yleis- ja rakennesuunnittelua. </w:t>
      </w:r>
      <w:r w:rsidR="00535F4E">
        <w:t>Suunnittelutoimeksiannot voivat liittyä</w:t>
      </w:r>
      <w:r>
        <w:t xml:space="preserve"> uudis- ja korjauskohte</w:t>
      </w:r>
      <w:r w:rsidR="00535F4E">
        <w:t>isiin</w:t>
      </w:r>
      <w:r w:rsidR="00724FC4">
        <w:t xml:space="preserve"> ja voivat</w:t>
      </w:r>
      <w:r>
        <w:t xml:space="preserve"> sisältää tarvittaessa kaupunkikuvallisia, historia</w:t>
      </w:r>
      <w:r w:rsidR="004B5910">
        <w:t xml:space="preserve">llisia tai kasvillisuus </w:t>
      </w:r>
      <w:r>
        <w:t xml:space="preserve">selvityksiä. </w:t>
      </w:r>
      <w:r w:rsidR="00D57D24">
        <w:t>Toimeksiannot sisältävät</w:t>
      </w:r>
      <w:r>
        <w:t xml:space="preserve"> </w:t>
      </w:r>
      <w:r w:rsidR="00570557">
        <w:t>mm.</w:t>
      </w:r>
      <w:r>
        <w:t xml:space="preserve"> puistojen toiminnallisist</w:t>
      </w:r>
      <w:r w:rsidR="00124F5C">
        <w:t xml:space="preserve">a ja maisemallista suunnittelua, </w:t>
      </w:r>
      <w:r>
        <w:t xml:space="preserve">kalusteiden ja varusteiden </w:t>
      </w:r>
      <w:r w:rsidR="00124F5C">
        <w:t xml:space="preserve">suunnittelua ja maanrakenteiden suunnittelua sekä puiston tasaus- ja kuivatussuunnittelua. </w:t>
      </w:r>
    </w:p>
    <w:p w14:paraId="6F918D3A" w14:textId="77777777" w:rsidR="001F6D8C" w:rsidRDefault="00810843" w:rsidP="001F6D8C">
      <w:pPr>
        <w:pStyle w:val="Otsikko2"/>
      </w:pPr>
      <w:r>
        <w:lastRenderedPageBreak/>
        <w:t>Tehtävä 3</w:t>
      </w:r>
      <w:r w:rsidR="001F6D8C">
        <w:t xml:space="preserve"> ”Monialaiset </w:t>
      </w:r>
      <w:r w:rsidR="00C276E9">
        <w:t>suunnittelukokonaisuudet</w:t>
      </w:r>
      <w:r w:rsidR="001F6D8C">
        <w:t>”</w:t>
      </w:r>
    </w:p>
    <w:p w14:paraId="72FB535C" w14:textId="77777777" w:rsidR="00281019" w:rsidRDefault="00836088" w:rsidP="001F6D8C">
      <w:r>
        <w:t xml:space="preserve">Monialaiset suunnittelukokonaisuudet ovat tavanomaisia suunnittelutoimeksiantoja monialaisempia. Ne sisältävät kohdissa 2.1 ja 2.2 kuvattuja tehtäviä sekä </w:t>
      </w:r>
      <w:r w:rsidR="000D271B">
        <w:t>mm. taitorakennesuunnittelu</w:t>
      </w:r>
      <w:r>
        <w:t>a</w:t>
      </w:r>
      <w:r w:rsidR="000D271B">
        <w:t xml:space="preserve">, </w:t>
      </w:r>
      <w:r w:rsidR="001D0297">
        <w:t xml:space="preserve">liikennemerkkisuunnittelua, </w:t>
      </w:r>
      <w:r w:rsidR="000D271B">
        <w:t>valaistussuunnittelu</w:t>
      </w:r>
      <w:r>
        <w:t>a</w:t>
      </w:r>
      <w:r w:rsidR="000D271B">
        <w:t xml:space="preserve"> ja pohjarakennesuunnittelu</w:t>
      </w:r>
      <w:r>
        <w:t xml:space="preserve">a. Tehtävät ovat tarkkuustasoltaan yleissuunnittelutehtäviä. </w:t>
      </w:r>
    </w:p>
    <w:p w14:paraId="5EFAA67B" w14:textId="2EB9E8FC" w:rsidR="000D271B" w:rsidRDefault="00281019" w:rsidP="001F6D8C">
      <w:r>
        <w:t>T</w:t>
      </w:r>
      <w:r w:rsidR="001D0297">
        <w:t>oimeksiannot voivat sisältää erilaisia selvityksiä sekä toisen suunnittelijan laatimien suunnitelmien tarkastamisen tehtäviä.</w:t>
      </w:r>
    </w:p>
    <w:p w14:paraId="6AA53C5A" w14:textId="77777777" w:rsidR="00620937" w:rsidRDefault="00620937" w:rsidP="00620937">
      <w:pPr>
        <w:pStyle w:val="Otsikko2"/>
      </w:pPr>
      <w:r>
        <w:t>Hankittavalle suunnittelutyölle ja asiantuntijapalvelulle asetetut vaatimukset</w:t>
      </w:r>
    </w:p>
    <w:p w14:paraId="60092F58" w14:textId="77777777" w:rsidR="00620937" w:rsidRDefault="00620937" w:rsidP="00620937">
      <w:r>
        <w:t xml:space="preserve">Toimeksiantojen sisältö ja niihin tarvittava henkilöresurssi määritellään erikseen kuhunkin toimeksiantoon. </w:t>
      </w:r>
    </w:p>
    <w:p w14:paraId="5B6A3D53" w14:textId="77777777" w:rsidR="008D1E74" w:rsidRDefault="008D1E74" w:rsidP="00620937">
      <w:r>
        <w:t>Yksittäisiin toimeksiantoihin liittyvät vaatimukset on esitetty liitteessä 1 ”</w:t>
      </w:r>
      <w:r w:rsidRPr="008D1E74">
        <w:t>Hankittavalle suunnittelutyölle ja asiantuntijapalvelulle asetetut vaatimukset</w:t>
      </w:r>
      <w:r>
        <w:t>”. Liitteessä esitetään mm.</w:t>
      </w:r>
    </w:p>
    <w:p w14:paraId="15BF8ABF" w14:textId="77777777" w:rsidR="008D1E74" w:rsidRDefault="008D1E74" w:rsidP="008D1E74">
      <w:pPr>
        <w:pStyle w:val="Luettelokappale"/>
        <w:numPr>
          <w:ilvl w:val="0"/>
          <w:numId w:val="19"/>
        </w:numPr>
      </w:pPr>
      <w:r>
        <w:t>Projektipäällikön tehtävät ja vastuut toimeksiannoissa</w:t>
      </w:r>
    </w:p>
    <w:p w14:paraId="703A82F2" w14:textId="77777777" w:rsidR="009D3079" w:rsidRDefault="009D3079" w:rsidP="008D1E74">
      <w:pPr>
        <w:pStyle w:val="Luettelokappale"/>
        <w:numPr>
          <w:ilvl w:val="0"/>
          <w:numId w:val="19"/>
        </w:numPr>
      </w:pPr>
      <w:r>
        <w:t>Pääsuunnittelijan tehtävät ja vastuut toimeksiannoissa</w:t>
      </w:r>
    </w:p>
    <w:p w14:paraId="0FBE7BA6" w14:textId="77777777" w:rsidR="008D1E74" w:rsidRDefault="008D1E74" w:rsidP="008D1E74">
      <w:pPr>
        <w:pStyle w:val="Luettelokappale"/>
        <w:numPr>
          <w:ilvl w:val="0"/>
          <w:numId w:val="19"/>
        </w:numPr>
      </w:pPr>
      <w:r>
        <w:t>Kustannussuunnittelu suunnittelutoimeksiannoissa</w:t>
      </w:r>
    </w:p>
    <w:p w14:paraId="199A3AFE" w14:textId="77777777" w:rsidR="00EB3530" w:rsidRDefault="00EB3530" w:rsidP="00987F96">
      <w:pPr>
        <w:pStyle w:val="Luettelokappale"/>
        <w:numPr>
          <w:ilvl w:val="0"/>
          <w:numId w:val="19"/>
        </w:numPr>
      </w:pPr>
      <w:r>
        <w:t>Työnaikainen liikennesuunnittelu</w:t>
      </w:r>
    </w:p>
    <w:p w14:paraId="4CD5D1C7" w14:textId="77777777" w:rsidR="00A31DAD" w:rsidRDefault="00A31DAD" w:rsidP="00987F96">
      <w:pPr>
        <w:pStyle w:val="Luettelokappale"/>
        <w:numPr>
          <w:ilvl w:val="0"/>
          <w:numId w:val="19"/>
        </w:numPr>
      </w:pPr>
      <w:r>
        <w:t>Työturvallisuussuunnittelu</w:t>
      </w:r>
    </w:p>
    <w:p w14:paraId="41DD9F47" w14:textId="77777777" w:rsidR="00B631A0" w:rsidRPr="004630B2" w:rsidRDefault="00A72628" w:rsidP="008D1E74">
      <w:pPr>
        <w:pStyle w:val="Luettelokappale"/>
        <w:numPr>
          <w:ilvl w:val="0"/>
          <w:numId w:val="19"/>
        </w:numPr>
      </w:pPr>
      <w:r w:rsidRPr="004630B2">
        <w:t>T</w:t>
      </w:r>
      <w:r w:rsidR="00B631A0" w:rsidRPr="004630B2">
        <w:t>urvallisuuskoordinaattorin nimittäminen</w:t>
      </w:r>
    </w:p>
    <w:p w14:paraId="6E34346B" w14:textId="77777777" w:rsidR="00987F96" w:rsidRDefault="0031725C" w:rsidP="008D1E74">
      <w:pPr>
        <w:pStyle w:val="Luettelokappale"/>
        <w:numPr>
          <w:ilvl w:val="0"/>
          <w:numId w:val="19"/>
        </w:numPr>
      </w:pPr>
      <w:r>
        <w:t>Suunnittelutyön toteutus</w:t>
      </w:r>
    </w:p>
    <w:p w14:paraId="63CBCD9A" w14:textId="77777777" w:rsidR="00A31DAD" w:rsidRDefault="00A31DAD" w:rsidP="00987F96">
      <w:pPr>
        <w:pStyle w:val="Luettelokappale"/>
        <w:numPr>
          <w:ilvl w:val="1"/>
          <w:numId w:val="19"/>
        </w:numPr>
      </w:pPr>
      <w:r>
        <w:t>Laadittavat suunnitelmat</w:t>
      </w:r>
    </w:p>
    <w:p w14:paraId="1C9B79F8" w14:textId="77777777" w:rsidR="00A31DAD" w:rsidRDefault="00A31DAD" w:rsidP="00987F96">
      <w:pPr>
        <w:pStyle w:val="Luettelokappale"/>
        <w:numPr>
          <w:ilvl w:val="1"/>
          <w:numId w:val="19"/>
        </w:numPr>
      </w:pPr>
      <w:r>
        <w:t>Kokouskäytännöt toimeksiannoissa</w:t>
      </w:r>
    </w:p>
    <w:p w14:paraId="13A2DD96" w14:textId="77777777" w:rsidR="00A31DAD" w:rsidRDefault="00A31DAD" w:rsidP="00987F96">
      <w:pPr>
        <w:pStyle w:val="Luettelokappale"/>
        <w:numPr>
          <w:ilvl w:val="1"/>
          <w:numId w:val="19"/>
        </w:numPr>
      </w:pPr>
      <w:r>
        <w:t>Suunnitelmien tarkastuskäytännöt</w:t>
      </w:r>
    </w:p>
    <w:p w14:paraId="07D93C5F" w14:textId="33EDC7E7" w:rsidR="00E02B9B" w:rsidRPr="00620937" w:rsidRDefault="00E02B9B" w:rsidP="00987F96">
      <w:pPr>
        <w:pStyle w:val="Luettelokappale"/>
        <w:numPr>
          <w:ilvl w:val="1"/>
          <w:numId w:val="19"/>
        </w:numPr>
      </w:pPr>
      <w:r>
        <w:t>Dokumentointi</w:t>
      </w:r>
    </w:p>
    <w:p w14:paraId="26BC6AB4" w14:textId="0B231043" w:rsidR="002C35D9" w:rsidRPr="004F13F5" w:rsidRDefault="002C35D9" w:rsidP="00A16116">
      <w:pPr>
        <w:rPr>
          <w:color w:val="ED7D31" w:themeColor="accent2"/>
          <w:lang w:eastAsia="fi-FI"/>
        </w:rPr>
      </w:pPr>
      <w:r w:rsidRPr="002C35D9">
        <w:rPr>
          <w:lang w:eastAsia="fi-FI"/>
        </w:rPr>
        <w:t>Lisäksi vesihuoltosuunnittelua sisältävissä toimeksiannoissa projektipäälliköllä ja vesihuollon suunnitteluun osallistuvilla suunnittelijoilla tulee olla Valviran myöntämä voimassa ol</w:t>
      </w:r>
      <w:r w:rsidR="004F13F5">
        <w:rPr>
          <w:lang w:eastAsia="fi-FI"/>
        </w:rPr>
        <w:t>eva vesityökortti testiosiossa ”v</w:t>
      </w:r>
      <w:r w:rsidRPr="002C35D9">
        <w:rPr>
          <w:lang w:eastAsia="fi-FI"/>
        </w:rPr>
        <w:t>esijohtoverkostot</w:t>
      </w:r>
      <w:r w:rsidR="004F13F5">
        <w:rPr>
          <w:lang w:eastAsia="fi-FI"/>
        </w:rPr>
        <w:t>”</w:t>
      </w:r>
      <w:r>
        <w:rPr>
          <w:lang w:eastAsia="fi-FI"/>
        </w:rPr>
        <w:t xml:space="preserve"> ja</w:t>
      </w:r>
      <w:r w:rsidRPr="002C35D9">
        <w:rPr>
          <w:lang w:eastAsia="fi-FI"/>
        </w:rPr>
        <w:t xml:space="preserve"> </w:t>
      </w:r>
      <w:r>
        <w:rPr>
          <w:lang w:eastAsia="fi-FI"/>
        </w:rPr>
        <w:t xml:space="preserve">kaikilla yleisellä tiellä, kadulla tai liikennealueilla työskentelevillä henkilöillä tulee olla voimassaoleva Tieturva 1 </w:t>
      </w:r>
      <w:r w:rsidR="00F725AA">
        <w:rPr>
          <w:lang w:eastAsia="fi-FI"/>
        </w:rPr>
        <w:t>-</w:t>
      </w:r>
      <w:r>
        <w:rPr>
          <w:lang w:eastAsia="fi-FI"/>
        </w:rPr>
        <w:t>kortti.</w:t>
      </w:r>
    </w:p>
    <w:p w14:paraId="7720308E" w14:textId="1992E48D" w:rsidR="002C35D9" w:rsidRDefault="00437433" w:rsidP="00A16116">
      <w:pPr>
        <w:rPr>
          <w:lang w:eastAsia="fi-FI"/>
        </w:rPr>
      </w:pPr>
      <w:r>
        <w:rPr>
          <w:lang w:eastAsia="fi-FI"/>
        </w:rPr>
        <w:t>Kaikissa toimeksiannoissa työkielenä on</w:t>
      </w:r>
      <w:r w:rsidR="00BD5905">
        <w:rPr>
          <w:lang w:eastAsia="fi-FI"/>
        </w:rPr>
        <w:t xml:space="preserve"> suomi ja kaikki suunnitelmat sekä</w:t>
      </w:r>
      <w:r>
        <w:rPr>
          <w:lang w:eastAsia="fi-FI"/>
        </w:rPr>
        <w:t xml:space="preserve"> selvitykset toteutetaan suomenkielisinä.</w:t>
      </w:r>
    </w:p>
    <w:p w14:paraId="661E9FEE" w14:textId="0F0F57FB" w:rsidR="00AF74D3" w:rsidRDefault="00AF74D3" w:rsidP="00AF74D3">
      <w:pPr>
        <w:pStyle w:val="Otsikko1"/>
        <w:rPr>
          <w:lang w:eastAsia="fi-FI"/>
        </w:rPr>
      </w:pPr>
      <w:bookmarkStart w:id="2" w:name="_Toc469578708"/>
      <w:r>
        <w:rPr>
          <w:lang w:eastAsia="fi-FI"/>
        </w:rPr>
        <w:t>Hankintamenettely</w:t>
      </w:r>
      <w:bookmarkEnd w:id="2"/>
    </w:p>
    <w:p w14:paraId="77416203" w14:textId="716CA2A2" w:rsidR="00BF0B7D" w:rsidRDefault="00BF0B7D" w:rsidP="00BF0B7D">
      <w:pPr>
        <w:pStyle w:val="Otsikko2"/>
        <w:rPr>
          <w:lang w:eastAsia="fi-FI"/>
        </w:rPr>
      </w:pPr>
      <w:r>
        <w:rPr>
          <w:lang w:eastAsia="fi-FI"/>
        </w:rPr>
        <w:t>Puitejärjestelyn perustaminen</w:t>
      </w:r>
    </w:p>
    <w:p w14:paraId="0C952996" w14:textId="6B77904F" w:rsidR="007F0925" w:rsidRPr="00BF0B7D" w:rsidRDefault="00BF0B7D" w:rsidP="00BF0B7D">
      <w:r>
        <w:t xml:space="preserve">Puitejärjestelyn ennakoitu arvo ylittää hankintalain 26 §:ssä tarkoitetun EU-kynnysarvon. Hankintamenettelynä puitejärjestelyn perustamiseen käytetään hankintalain </w:t>
      </w:r>
      <w:r w:rsidRPr="00C80CF9">
        <w:t>32 §:ssä tarkoitettua avointa menettelyä.</w:t>
      </w:r>
      <w:r>
        <w:t xml:space="preserve"> Avointa menettelyä käyttäen puitejärjestelyn kuhunkin osatehtävään valitaan neljä (4) toimittajaa, joiden tarjoukset on arvoitu parha</w:t>
      </w:r>
      <w:r w:rsidR="00032BA2">
        <w:t>i</w:t>
      </w:r>
      <w:r>
        <w:t>ksi.</w:t>
      </w:r>
      <w:r w:rsidR="00CB6359">
        <w:t xml:space="preserve"> </w:t>
      </w:r>
      <w:r w:rsidR="00361E51">
        <w:t>Jos hyväksyttäviä tarjouksia on osatehtävään vähemmän kuin neljä (4), voidaan osatehtävään tällöin valita esitettyä määrää vähemmän toimittajia.</w:t>
      </w:r>
    </w:p>
    <w:p w14:paraId="0DB58639" w14:textId="77777777" w:rsidR="00AF74D3" w:rsidRDefault="00AF74D3" w:rsidP="00AF74D3">
      <w:pPr>
        <w:pStyle w:val="Otsikko2"/>
      </w:pPr>
      <w:r>
        <w:lastRenderedPageBreak/>
        <w:t>Puitejärjestelyn mukainen toimeksiantomenettely</w:t>
      </w:r>
    </w:p>
    <w:p w14:paraId="07EAFCAC" w14:textId="209751A1" w:rsidR="00AF74D3" w:rsidRPr="00EC2F07" w:rsidRDefault="00AF74D3" w:rsidP="00AF74D3">
      <w:r w:rsidRPr="00EC2F07">
        <w:t xml:space="preserve">Puitejärjestelyyn perustuviin hankintoihin, joiden ennakoitu arvo ylittää 60 000 €, valitaan toimittaja puitejärjestelyssä kussakin osatehtävässä mukana olevien toimittajien kesken </w:t>
      </w:r>
      <w:r w:rsidR="0093252E" w:rsidRPr="00EC2F07">
        <w:t>noudattamalla seuraavaa tarjousvertailun tuloksiin pohjautuvaa</w:t>
      </w:r>
      <w:r w:rsidR="00EC2F07" w:rsidRPr="00EC2F07">
        <w:t xml:space="preserve"> viiden hankinnan kierroksissa etenevää</w:t>
      </w:r>
      <w:r w:rsidR="0093252E" w:rsidRPr="00EC2F07">
        <w:t xml:space="preserve"> järjestystä</w:t>
      </w:r>
      <w:r w:rsidR="00AD2329">
        <w:t>:</w:t>
      </w:r>
    </w:p>
    <w:p w14:paraId="6141E8E2" w14:textId="4DA24605" w:rsidR="0093252E" w:rsidRPr="00EC2F07" w:rsidRDefault="0093252E" w:rsidP="00EC2F07">
      <w:pPr>
        <w:pStyle w:val="Luettelokappale"/>
        <w:numPr>
          <w:ilvl w:val="0"/>
          <w:numId w:val="25"/>
        </w:numPr>
      </w:pPr>
      <w:r w:rsidRPr="00EC2F07">
        <w:t>Tarjouskilpailun 1. sija</w:t>
      </w:r>
    </w:p>
    <w:p w14:paraId="6564FC44" w14:textId="0328C91E" w:rsidR="0093252E" w:rsidRPr="00EC2F07" w:rsidRDefault="0093252E" w:rsidP="00EC2F07">
      <w:pPr>
        <w:pStyle w:val="Luettelokappale"/>
        <w:numPr>
          <w:ilvl w:val="0"/>
          <w:numId w:val="25"/>
        </w:numPr>
      </w:pPr>
      <w:r w:rsidRPr="00EC2F07">
        <w:t>Tarjouskilpailun 2. sija</w:t>
      </w:r>
    </w:p>
    <w:p w14:paraId="4EB82444" w14:textId="50E17075" w:rsidR="0093252E" w:rsidRPr="00EC2F07" w:rsidRDefault="0093252E" w:rsidP="00EC2F07">
      <w:pPr>
        <w:pStyle w:val="Luettelokappale"/>
        <w:numPr>
          <w:ilvl w:val="0"/>
          <w:numId w:val="25"/>
        </w:numPr>
      </w:pPr>
      <w:r w:rsidRPr="00EC2F07">
        <w:t>Tarjouskilpailun 1. sija</w:t>
      </w:r>
    </w:p>
    <w:p w14:paraId="17402643" w14:textId="4A34CC15" w:rsidR="0093252E" w:rsidRPr="00EC2F07" w:rsidRDefault="0093252E" w:rsidP="00EC2F07">
      <w:pPr>
        <w:pStyle w:val="Luettelokappale"/>
        <w:numPr>
          <w:ilvl w:val="0"/>
          <w:numId w:val="25"/>
        </w:numPr>
      </w:pPr>
      <w:r w:rsidRPr="00EC2F07">
        <w:t>Tarjouskilpailun 3. sija</w:t>
      </w:r>
    </w:p>
    <w:p w14:paraId="668619AB" w14:textId="30E603B3" w:rsidR="0093252E" w:rsidRPr="00EC2F07" w:rsidRDefault="0093252E" w:rsidP="00EC2F07">
      <w:pPr>
        <w:pStyle w:val="Luettelokappale"/>
        <w:numPr>
          <w:ilvl w:val="0"/>
          <w:numId w:val="25"/>
        </w:numPr>
      </w:pPr>
      <w:r w:rsidRPr="00EC2F07">
        <w:t>Tarjouskilpailun 4. sija</w:t>
      </w:r>
    </w:p>
    <w:p w14:paraId="27B3C782" w14:textId="0C008B56" w:rsidR="0093252E" w:rsidRPr="00EC2F07" w:rsidRDefault="00900A72" w:rsidP="00900A72">
      <w:r w:rsidRPr="00EC2F07">
        <w:t>Jos ensisijainen toimittaja kieltäytyy toimeksiannosta, valitaan mekanismin mukaisesti seuraava toimittaja</w:t>
      </w:r>
      <w:r w:rsidR="0093252E" w:rsidRPr="00EC2F07">
        <w:t xml:space="preserve"> toimeksiannon toimittajaksi. Tällöin kieltäytynyt toimittaja menettää toimeksiannon siltä kierrokselta</w:t>
      </w:r>
      <w:r w:rsidR="00AD2329">
        <w:t xml:space="preserve"> eli kierroksen hankintamäärä vähenee yhdellä ja järjestys säilyy ennallaan</w:t>
      </w:r>
      <w:r w:rsidR="0093252E" w:rsidRPr="00EC2F07">
        <w:t>.</w:t>
      </w:r>
    </w:p>
    <w:p w14:paraId="61917BD4" w14:textId="07B4C2D9" w:rsidR="00900A72" w:rsidRPr="00EC2F07" w:rsidRDefault="0093252E" w:rsidP="00900A72">
      <w:r w:rsidRPr="00EC2F07">
        <w:t>Hankintayksikkö pidättää oikeuden muuttaa järjestystä ja valita soveltuvin toimittaja niissä tilanteissa, joissa toimeksianto liittyy hankkeeseen, jossa jokin puitejärjestelyn toimittaja on ollut aiemmassa vaiheessa mukana. Järjestyksen vaihto ei vaikuta</w:t>
      </w:r>
      <w:r w:rsidR="00AD2329">
        <w:t xml:space="preserve"> kierroksen</w:t>
      </w:r>
      <w:r w:rsidRPr="00EC2F07">
        <w:t xml:space="preserve"> toimeksiantojen määrään.</w:t>
      </w:r>
    </w:p>
    <w:p w14:paraId="643AB0B8" w14:textId="77777777" w:rsidR="00AF74D3" w:rsidRDefault="00AF74D3" w:rsidP="00AF74D3">
      <w:r>
        <w:t>Hankintayksikkö pyytää ja jokaisesta puitejärjestelyn toimeksiannosta tehdään kirjallinen tarjous erikseen. Yksittäistä toimeksiantoa koskevassa tarjouksessa tulee esittää työn laajuus, aikataulu, tehtävästä maksettava enimmäishinta eli kattohinta. Yksittäistä toimeksiantoa koskevassa tarjouksessa voidaan pyytää esittämään myös muita kuin edellä mainittuja tietoja.</w:t>
      </w:r>
    </w:p>
    <w:p w14:paraId="3A9A7D21" w14:textId="77777777" w:rsidR="00AF74D3" w:rsidRDefault="00AF74D3" w:rsidP="00AF74D3">
      <w:r>
        <w:t>Hankintoihin, joiden ennakoitu arvo alittaa kansallisen kynnysarvon (60 000 €), hankintayksikkö valitsee toimittajan puitejärjestelyssä mukana olevien toimittajien keskuudesta ilman kilpailuttamista.</w:t>
      </w:r>
    </w:p>
    <w:p w14:paraId="53BF1F3F" w14:textId="77777777" w:rsidR="00AF74D3" w:rsidRDefault="00AF74D3" w:rsidP="00AF74D3">
      <w:r>
        <w:t>Hankintayksikkö voi tehdä hankintoja myös puitesopimuksen ulkopuolelta noudattaen hankintalain säädöksiä.</w:t>
      </w:r>
    </w:p>
    <w:p w14:paraId="3D7E796F" w14:textId="77777777" w:rsidR="00515EA0" w:rsidRDefault="00515EA0" w:rsidP="00515EA0">
      <w:pPr>
        <w:pStyle w:val="Otsikko1"/>
        <w:rPr>
          <w:lang w:eastAsia="fi-FI"/>
        </w:rPr>
      </w:pPr>
      <w:bookmarkStart w:id="3" w:name="_Toc469578709"/>
      <w:r>
        <w:rPr>
          <w:lang w:eastAsia="fi-FI"/>
        </w:rPr>
        <w:t>Osallistumisvaatimukset</w:t>
      </w:r>
      <w:bookmarkEnd w:id="3"/>
    </w:p>
    <w:p w14:paraId="269E43D4" w14:textId="77777777" w:rsidR="00183203" w:rsidRDefault="00183203" w:rsidP="00183203">
      <w:pPr>
        <w:rPr>
          <w:lang w:eastAsia="fi-FI"/>
        </w:rPr>
      </w:pPr>
      <w:r>
        <w:rPr>
          <w:lang w:eastAsia="fi-FI"/>
        </w:rPr>
        <w:t>Toimittaja suljetaan pois tarjouskilpailusta, jos häntä koskee jokin hankintalain 80 §:n pakollinen poissulkemisperuste. Tarjoaja voidaan sulkea pois tarjouskilpailusta, jos häntä koskee jokin hankintalain 81 §:n harkinnanvarainen poissulkemisperuste.</w:t>
      </w:r>
    </w:p>
    <w:p w14:paraId="209CD33D" w14:textId="3224BF1C" w:rsidR="00183203" w:rsidRDefault="00183203" w:rsidP="00183203">
      <w:pPr>
        <w:rPr>
          <w:lang w:eastAsia="fi-FI"/>
        </w:rPr>
      </w:pPr>
      <w:r>
        <w:rPr>
          <w:lang w:eastAsia="fi-FI"/>
        </w:rPr>
        <w:t xml:space="preserve">Toimittajan tulee täyttää kohdissa </w:t>
      </w:r>
      <w:r w:rsidR="00AF74D3">
        <w:rPr>
          <w:lang w:eastAsia="fi-FI"/>
        </w:rPr>
        <w:t>4</w:t>
      </w:r>
      <w:r>
        <w:rPr>
          <w:lang w:eastAsia="fi-FI"/>
        </w:rPr>
        <w:t>.1–</w:t>
      </w:r>
      <w:r w:rsidR="00AF74D3">
        <w:rPr>
          <w:lang w:eastAsia="fi-FI"/>
        </w:rPr>
        <w:t>4</w:t>
      </w:r>
      <w:r>
        <w:rPr>
          <w:lang w:eastAsia="fi-FI"/>
        </w:rPr>
        <w:t>.</w:t>
      </w:r>
      <w:r w:rsidR="00F56A40">
        <w:rPr>
          <w:lang w:eastAsia="fi-FI"/>
        </w:rPr>
        <w:t>3</w:t>
      </w:r>
      <w:r>
        <w:rPr>
          <w:lang w:eastAsia="fi-FI"/>
        </w:rPr>
        <w:t xml:space="preserve"> esitetyt toimittajan soveltuvuutta koskevat vähimmäisvaatimukset.</w:t>
      </w:r>
    </w:p>
    <w:p w14:paraId="10C941C4" w14:textId="561C1334" w:rsidR="00E466AD" w:rsidRDefault="00E466AD" w:rsidP="00E466AD">
      <w:r>
        <w:rPr>
          <w:lang w:eastAsia="fi-FI"/>
        </w:rPr>
        <w:t>Toimittajan tulee alustavana näyttönä esittää täytetty hankintayksikön esitäyttämä Yhteinen eurooppalainen hankinta-asiakirja</w:t>
      </w:r>
      <w:r w:rsidR="00702AEF">
        <w:rPr>
          <w:lang w:eastAsia="fi-FI"/>
        </w:rPr>
        <w:t xml:space="preserve"> ESPD</w:t>
      </w:r>
      <w:r w:rsidR="002C7795">
        <w:rPr>
          <w:lang w:eastAsia="fi-FI"/>
        </w:rPr>
        <w:t xml:space="preserve"> (</w:t>
      </w:r>
      <w:r w:rsidR="00AA7247">
        <w:rPr>
          <w:lang w:eastAsia="fi-FI"/>
        </w:rPr>
        <w:t>liite 5</w:t>
      </w:r>
      <w:r w:rsidR="002C7795">
        <w:rPr>
          <w:lang w:eastAsia="fi-FI"/>
        </w:rPr>
        <w:t>)</w:t>
      </w:r>
      <w:r>
        <w:rPr>
          <w:lang w:eastAsia="fi-FI"/>
        </w:rPr>
        <w:t xml:space="preserve"> siitä, ettei sitä rasita hankintalain 80 tai 81 §:ssä tarkoitetut pakolliset ja harkinnanvaraiset poissulkemisperusteet ja, että se täyttää hankintayksikön tässä tarjouspyynnössä esittämät soveltuvuuden vähimmäisvaatimukset (esitetty kohdissa </w:t>
      </w:r>
      <w:r w:rsidR="00AF74D3">
        <w:rPr>
          <w:lang w:eastAsia="fi-FI"/>
        </w:rPr>
        <w:t>4</w:t>
      </w:r>
      <w:r>
        <w:rPr>
          <w:lang w:eastAsia="fi-FI"/>
        </w:rPr>
        <w:t>.1–</w:t>
      </w:r>
      <w:r w:rsidR="00AF74D3">
        <w:rPr>
          <w:lang w:eastAsia="fi-FI"/>
        </w:rPr>
        <w:t>4</w:t>
      </w:r>
      <w:r>
        <w:rPr>
          <w:lang w:eastAsia="fi-FI"/>
        </w:rPr>
        <w:t>.</w:t>
      </w:r>
      <w:r w:rsidR="00F56A40">
        <w:rPr>
          <w:lang w:eastAsia="fi-FI"/>
        </w:rPr>
        <w:t>3</w:t>
      </w:r>
      <w:r>
        <w:rPr>
          <w:lang w:eastAsia="fi-FI"/>
        </w:rPr>
        <w:t xml:space="preserve">). </w:t>
      </w:r>
    </w:p>
    <w:p w14:paraId="3CDF026E" w14:textId="3DDD8966" w:rsidR="00443E8F" w:rsidRDefault="00E466AD" w:rsidP="00443E8F">
      <w:pPr>
        <w:rPr>
          <w:lang w:eastAsia="fi-FI"/>
        </w:rPr>
      </w:pPr>
      <w:r>
        <w:lastRenderedPageBreak/>
        <w:t xml:space="preserve">Valittujen toimittajien tulee ennen </w:t>
      </w:r>
      <w:r w:rsidR="001F0CAD">
        <w:t>puite</w:t>
      </w:r>
      <w:r>
        <w:t xml:space="preserve">sopimuksen tekemistä osoittaa Yhteisen eurooppalaisen hankinta-asiakirjan paikkansapitävyys liitteessä </w:t>
      </w:r>
      <w:r w:rsidR="00BE6C3E">
        <w:t>4</w:t>
      </w:r>
      <w:r>
        <w:t xml:space="preserve"> </w:t>
      </w:r>
      <w:r>
        <w:rPr>
          <w:lang w:eastAsia="fi-FI"/>
        </w:rPr>
        <w:t xml:space="preserve">”Luettelo tarjoukseen liitettävistä asiakirjoista ja soveltuvuusvaatimusten täyttymisen osoittamiseksi toimitettavista asiakirjoista” tarkoitetuilla </w:t>
      </w:r>
      <w:r w:rsidR="00EF3FB1">
        <w:rPr>
          <w:lang w:eastAsia="fi-FI"/>
        </w:rPr>
        <w:t>todistuksilla ja selvityksillä.</w:t>
      </w:r>
      <w:r w:rsidR="00443E8F" w:rsidRPr="00443E8F">
        <w:rPr>
          <w:lang w:eastAsia="fi-FI"/>
        </w:rPr>
        <w:t xml:space="preserve"> </w:t>
      </w:r>
    </w:p>
    <w:p w14:paraId="5F5B831C" w14:textId="20ABC669" w:rsidR="00183203" w:rsidRDefault="00443E8F" w:rsidP="00200EF4">
      <w:pPr>
        <w:rPr>
          <w:lang w:eastAsia="fi-FI"/>
        </w:rPr>
      </w:pPr>
      <w:r w:rsidRPr="00BE6C3E">
        <w:rPr>
          <w:lang w:eastAsia="fi-FI"/>
        </w:rPr>
        <w:t>Toimittajan ja sen alihankkijoiden tulee täyttää tilaajavastuulain 5 §:n mukaiset vaatimukset. Vaatimusten täyttyminen selvitetään ennen hankintasopimuksen tekemistä tilaajavastuulain 5 §:</w:t>
      </w:r>
      <w:r w:rsidR="00BE2E10">
        <w:rPr>
          <w:lang w:eastAsia="fi-FI"/>
        </w:rPr>
        <w:t>ssä</w:t>
      </w:r>
      <w:r w:rsidRPr="00BE6C3E">
        <w:rPr>
          <w:lang w:eastAsia="fi-FI"/>
        </w:rPr>
        <w:t xml:space="preserve"> tarkoitetuin todistuksin ja selvityksin.</w:t>
      </w:r>
      <w:r>
        <w:rPr>
          <w:lang w:eastAsia="fi-FI"/>
        </w:rPr>
        <w:t xml:space="preserve"> </w:t>
      </w:r>
    </w:p>
    <w:p w14:paraId="7A46CD13" w14:textId="283C98F9" w:rsidR="00694258" w:rsidRDefault="0087409D" w:rsidP="00694258">
      <w:pPr>
        <w:pStyle w:val="Otsikko2"/>
        <w:rPr>
          <w:lang w:eastAsia="fi-FI"/>
        </w:rPr>
      </w:pPr>
      <w:r>
        <w:rPr>
          <w:lang w:eastAsia="fi-FI"/>
        </w:rPr>
        <w:t>Oikeus</w:t>
      </w:r>
      <w:r w:rsidR="005F0F10">
        <w:rPr>
          <w:lang w:eastAsia="fi-FI"/>
        </w:rPr>
        <w:t xml:space="preserve"> harjoittaa ammatti- tai elinkeinotoimintaa</w:t>
      </w:r>
    </w:p>
    <w:p w14:paraId="545663CF" w14:textId="77777777" w:rsidR="00F56A40" w:rsidRDefault="00F56A40" w:rsidP="00F56A40">
      <w:pPr>
        <w:spacing w:after="240"/>
      </w:pPr>
      <w:r>
        <w:t xml:space="preserve">Toimittajalla tulee olla oikeus harjoittaa ammatti- tai elinkeinotoimintaa sijoittumismaassaan. </w:t>
      </w:r>
    </w:p>
    <w:p w14:paraId="113FD7EA" w14:textId="7DACA17F" w:rsidR="00F56A40" w:rsidRDefault="00F56A40" w:rsidP="00F56A40">
      <w:pPr>
        <w:spacing w:after="0"/>
      </w:pPr>
      <w:r>
        <w:t>Vaatimusten täyttymisen</w:t>
      </w:r>
      <w:r w:rsidR="00CE1A44">
        <w:t xml:space="preserve"> ja ESPD:n paikkansapitävyyden</w:t>
      </w:r>
      <w:r>
        <w:t xml:space="preserve"> osoittamiseksi valitun toimittajan tulee toimittaa ennen hankintasopimuksen tekemistä hankintayksikölle jokin seuraavista:</w:t>
      </w:r>
    </w:p>
    <w:p w14:paraId="594AEC12" w14:textId="77777777" w:rsidR="00F56A40" w:rsidRDefault="00F56A40" w:rsidP="00F56A40">
      <w:pPr>
        <w:pStyle w:val="Luettelokappale"/>
        <w:numPr>
          <w:ilvl w:val="0"/>
          <w:numId w:val="21"/>
        </w:numPr>
        <w:spacing w:after="240"/>
      </w:pPr>
      <w:r>
        <w:t>Rekisteriote siitä, että toimittaja on rekisteröity ammatti- tai elinkeinorekisteriin</w:t>
      </w:r>
    </w:p>
    <w:p w14:paraId="2A4F53FE" w14:textId="77777777" w:rsidR="00F56A40" w:rsidRDefault="00F56A40" w:rsidP="00F56A40">
      <w:pPr>
        <w:pStyle w:val="Luettelokappale"/>
        <w:numPr>
          <w:ilvl w:val="0"/>
          <w:numId w:val="21"/>
        </w:numPr>
        <w:spacing w:after="240"/>
      </w:pPr>
      <w:r>
        <w:t>Valaehtoinen ilmoitus tai todistus siitä, että toimittaja harjoittaa elinkeinotoimintaa</w:t>
      </w:r>
    </w:p>
    <w:p w14:paraId="40560EDD" w14:textId="77777777" w:rsidR="00F56A40" w:rsidRDefault="00F56A40" w:rsidP="00F56A40">
      <w:pPr>
        <w:pStyle w:val="Luettelokappale"/>
        <w:numPr>
          <w:ilvl w:val="0"/>
          <w:numId w:val="21"/>
        </w:numPr>
        <w:spacing w:after="240"/>
      </w:pPr>
      <w:r>
        <w:t>Toimilupa tai järjestön jäsenyyttä koskeva todistus siitä, että toimittaja on oikeutettu palvelun tarjoamiseen sijoittumismaassaan</w:t>
      </w:r>
    </w:p>
    <w:p w14:paraId="4F72CBCF" w14:textId="5C864DB3" w:rsidR="00515EA0" w:rsidRDefault="00FA1F21" w:rsidP="00515EA0">
      <w:pPr>
        <w:pStyle w:val="Otsikko2"/>
        <w:rPr>
          <w:lang w:eastAsia="fi-FI"/>
        </w:rPr>
      </w:pPr>
      <w:r>
        <w:rPr>
          <w:lang w:eastAsia="fi-FI"/>
        </w:rPr>
        <w:t>Vaatimukset taloudelliselle</w:t>
      </w:r>
      <w:r w:rsidR="00515EA0">
        <w:rPr>
          <w:lang w:eastAsia="fi-FI"/>
        </w:rPr>
        <w:t xml:space="preserve"> ja rahoituksellis</w:t>
      </w:r>
      <w:r>
        <w:rPr>
          <w:lang w:eastAsia="fi-FI"/>
        </w:rPr>
        <w:t>elle tilanteelle</w:t>
      </w:r>
    </w:p>
    <w:p w14:paraId="0590B152" w14:textId="77777777" w:rsidR="002F6AC0" w:rsidRDefault="002F6AC0" w:rsidP="002F6AC0">
      <w:pPr>
        <w:spacing w:after="240"/>
      </w:pPr>
      <w:r>
        <w:t>Toimittajan tulee täyttää seuraavat taloudellista ja rahoituksellista tilannetta koskevat vaatimukset:</w:t>
      </w:r>
    </w:p>
    <w:p w14:paraId="1AEF3C55" w14:textId="5FB721B6" w:rsidR="002F6AC0" w:rsidRDefault="002F6AC0" w:rsidP="002F6AC0">
      <w:pPr>
        <w:pStyle w:val="Luettelokappale"/>
        <w:numPr>
          <w:ilvl w:val="0"/>
          <w:numId w:val="22"/>
        </w:numPr>
        <w:spacing w:after="240"/>
      </w:pPr>
      <w:r>
        <w:t xml:space="preserve">Toimittajalla tulee olla </w:t>
      </w:r>
      <w:r w:rsidR="000A61D3">
        <w:t>voimassa oleva</w:t>
      </w:r>
      <w:r>
        <w:t xml:space="preserve"> konsulttivastuuvakuutus, jo</w:t>
      </w:r>
      <w:r w:rsidR="000A61D3">
        <w:t>n</w:t>
      </w:r>
      <w:r>
        <w:t>ka katta</w:t>
      </w:r>
      <w:r w:rsidR="00A462A4">
        <w:t>vuuden tulee oll</w:t>
      </w:r>
      <w:r>
        <w:t xml:space="preserve">a vähintään </w:t>
      </w:r>
      <w:r w:rsidR="00CE48C0">
        <w:t>x</w:t>
      </w:r>
      <w:r w:rsidR="00A462A4">
        <w:t xml:space="preserve"> €</w:t>
      </w:r>
    </w:p>
    <w:p w14:paraId="13637000" w14:textId="7397EB95" w:rsidR="00515EA0" w:rsidRDefault="00515EA0" w:rsidP="00515EA0">
      <w:pPr>
        <w:pStyle w:val="Otsikko2"/>
        <w:rPr>
          <w:lang w:eastAsia="fi-FI"/>
        </w:rPr>
      </w:pPr>
      <w:r>
        <w:rPr>
          <w:lang w:eastAsia="fi-FI"/>
        </w:rPr>
        <w:t>Vaatimukset tekniselle</w:t>
      </w:r>
      <w:r w:rsidR="003056B4">
        <w:rPr>
          <w:lang w:eastAsia="fi-FI"/>
        </w:rPr>
        <w:t xml:space="preserve"> suorituskyvylle</w:t>
      </w:r>
      <w:r>
        <w:rPr>
          <w:lang w:eastAsia="fi-FI"/>
        </w:rPr>
        <w:t xml:space="preserve"> ja ammatilliselle pätevyydelle</w:t>
      </w:r>
    </w:p>
    <w:p w14:paraId="09A3C096" w14:textId="1AD4DA13" w:rsidR="00D0081E" w:rsidRPr="009F34EB" w:rsidRDefault="009F34EB" w:rsidP="001843D3">
      <w:pPr>
        <w:rPr>
          <w:lang w:eastAsia="fi-FI"/>
        </w:rPr>
      </w:pPr>
      <w:r w:rsidRPr="009F34EB">
        <w:rPr>
          <w:lang w:eastAsia="fi-FI"/>
        </w:rPr>
        <w:t>Tehtäväkohtaiset toimittajan vähimmäisvaatimukset</w:t>
      </w:r>
      <w:r w:rsidR="001843D3" w:rsidRPr="009F34EB">
        <w:rPr>
          <w:lang w:eastAsia="fi-FI"/>
        </w:rPr>
        <w:t xml:space="preserve"> tekniselle ja ammatilliselle pätevyydelle </w:t>
      </w:r>
      <w:r w:rsidRPr="009F34EB">
        <w:rPr>
          <w:lang w:eastAsia="fi-FI"/>
        </w:rPr>
        <w:t>ovat seuraavat:</w:t>
      </w:r>
    </w:p>
    <w:p w14:paraId="094ED583" w14:textId="3061C26E" w:rsidR="00A54096" w:rsidRPr="00DD2766" w:rsidRDefault="00A54096" w:rsidP="001843D3">
      <w:pPr>
        <w:rPr>
          <w:lang w:eastAsia="fi-FI"/>
        </w:rPr>
      </w:pPr>
      <w:r w:rsidRPr="00DD2766">
        <w:rPr>
          <w:lang w:eastAsia="fi-FI"/>
        </w:rPr>
        <w:t>Tehtävä 1</w:t>
      </w:r>
    </w:p>
    <w:p w14:paraId="434ABB73" w14:textId="1F262C50" w:rsidR="000018CD" w:rsidRPr="00DD2766" w:rsidRDefault="00DD2766" w:rsidP="00DD2766">
      <w:pPr>
        <w:rPr>
          <w:lang w:eastAsia="fi-FI"/>
        </w:rPr>
      </w:pPr>
      <w:r w:rsidRPr="00DD2766">
        <w:rPr>
          <w:lang w:eastAsia="fi-FI"/>
        </w:rPr>
        <w:t>Toimittajalla tulee olla v</w:t>
      </w:r>
      <w:r w:rsidR="00982A6F" w:rsidRPr="00DD2766">
        <w:rPr>
          <w:lang w:eastAsia="fi-FI"/>
        </w:rPr>
        <w:t>iimeisen kolmen vuoden ajalta v</w:t>
      </w:r>
      <w:r w:rsidR="00E23023" w:rsidRPr="00DD2766">
        <w:rPr>
          <w:lang w:eastAsia="fi-FI"/>
        </w:rPr>
        <w:t xml:space="preserve">ähintään </w:t>
      </w:r>
      <w:r w:rsidR="00692CC0">
        <w:rPr>
          <w:lang w:eastAsia="fi-FI"/>
        </w:rPr>
        <w:t>x kpl</w:t>
      </w:r>
      <w:r w:rsidR="00E23023" w:rsidRPr="00DD2766">
        <w:rPr>
          <w:lang w:eastAsia="fi-FI"/>
        </w:rPr>
        <w:t xml:space="preserve"> toimeksiantoa </w:t>
      </w:r>
      <w:r w:rsidR="005C03E8" w:rsidRPr="00DD2766">
        <w:rPr>
          <w:lang w:eastAsia="fi-FI"/>
        </w:rPr>
        <w:t>laajuudeltaan yli</w:t>
      </w:r>
      <w:r w:rsidR="00E23023" w:rsidRPr="00DD2766">
        <w:rPr>
          <w:lang w:eastAsia="fi-FI"/>
        </w:rPr>
        <w:t xml:space="preserve"> </w:t>
      </w:r>
      <w:r w:rsidR="00D40E36">
        <w:rPr>
          <w:lang w:eastAsia="fi-FI"/>
        </w:rPr>
        <w:t>x m</w:t>
      </w:r>
      <w:r w:rsidR="00E23023" w:rsidRPr="00DD2766">
        <w:rPr>
          <w:lang w:eastAsia="fi-FI"/>
        </w:rPr>
        <w:t xml:space="preserve"> katu</w:t>
      </w:r>
      <w:r w:rsidR="005C03E8" w:rsidRPr="00DD2766">
        <w:rPr>
          <w:lang w:eastAsia="fi-FI"/>
        </w:rPr>
        <w:t>suunnittelukohteista</w:t>
      </w:r>
      <w:r w:rsidR="00F60DF7" w:rsidRPr="00DD2766">
        <w:rPr>
          <w:lang w:eastAsia="fi-FI"/>
        </w:rPr>
        <w:t>, jotka ovat sisältäneet vesihuoltosuunnittelun</w:t>
      </w:r>
    </w:p>
    <w:p w14:paraId="79B978D2" w14:textId="5C352F8A" w:rsidR="00A54096" w:rsidRPr="00DD2766" w:rsidRDefault="00A54096" w:rsidP="00A54096">
      <w:pPr>
        <w:rPr>
          <w:lang w:eastAsia="fi-FI"/>
        </w:rPr>
      </w:pPr>
      <w:r w:rsidRPr="00DD2766">
        <w:rPr>
          <w:lang w:eastAsia="fi-FI"/>
        </w:rPr>
        <w:t>Tehtävä 2</w:t>
      </w:r>
    </w:p>
    <w:p w14:paraId="623BE684" w14:textId="02A1004D" w:rsidR="002C08E7" w:rsidRPr="00DD2766" w:rsidRDefault="00DD2766" w:rsidP="00DD2766">
      <w:pPr>
        <w:rPr>
          <w:lang w:eastAsia="fi-FI"/>
        </w:rPr>
      </w:pPr>
      <w:r w:rsidRPr="00DD2766">
        <w:rPr>
          <w:lang w:eastAsia="fi-FI"/>
        </w:rPr>
        <w:t>Toimittajalla tulee olla viimeisen</w:t>
      </w:r>
      <w:r w:rsidR="002C08E7" w:rsidRPr="00DD2766">
        <w:rPr>
          <w:lang w:eastAsia="fi-FI"/>
        </w:rPr>
        <w:t xml:space="preserve"> kolmen vuoden ajalta vähintään </w:t>
      </w:r>
      <w:r w:rsidR="009010BC">
        <w:rPr>
          <w:lang w:eastAsia="fi-FI"/>
        </w:rPr>
        <w:t>x kpl</w:t>
      </w:r>
      <w:r w:rsidR="002C08E7" w:rsidRPr="00DD2766">
        <w:rPr>
          <w:lang w:eastAsia="fi-FI"/>
        </w:rPr>
        <w:t xml:space="preserve"> toimeksiantoa laajuudeltaan yli </w:t>
      </w:r>
      <w:r w:rsidR="00D40E36">
        <w:rPr>
          <w:lang w:eastAsia="fi-FI"/>
        </w:rPr>
        <w:t>x</w:t>
      </w:r>
      <w:r w:rsidR="002C08E7" w:rsidRPr="00DD2766">
        <w:rPr>
          <w:lang w:eastAsia="fi-FI"/>
        </w:rPr>
        <w:t xml:space="preserve"> m2 </w:t>
      </w:r>
      <w:r w:rsidR="00AA7462" w:rsidRPr="00DD2766">
        <w:rPr>
          <w:lang w:eastAsia="fi-FI"/>
        </w:rPr>
        <w:t xml:space="preserve">puisto- tai </w:t>
      </w:r>
      <w:r w:rsidR="002C08E7" w:rsidRPr="00DD2766">
        <w:rPr>
          <w:lang w:eastAsia="fi-FI"/>
        </w:rPr>
        <w:t>viheraluesuunnittelusta</w:t>
      </w:r>
    </w:p>
    <w:p w14:paraId="73051BBF" w14:textId="79D71111" w:rsidR="00A54096" w:rsidRPr="00DD2766" w:rsidRDefault="00A54096" w:rsidP="00A54096">
      <w:pPr>
        <w:rPr>
          <w:lang w:eastAsia="fi-FI"/>
        </w:rPr>
      </w:pPr>
      <w:r w:rsidRPr="00DD2766">
        <w:rPr>
          <w:lang w:eastAsia="fi-FI"/>
        </w:rPr>
        <w:t>Tehtävä 3</w:t>
      </w:r>
    </w:p>
    <w:p w14:paraId="4C01CF0E" w14:textId="5FA3A170" w:rsidR="00DD2766" w:rsidRDefault="00DD2766" w:rsidP="00A54096">
      <w:pPr>
        <w:rPr>
          <w:color w:val="ED7D31" w:themeColor="accent2"/>
          <w:lang w:eastAsia="fi-FI"/>
        </w:rPr>
      </w:pPr>
      <w:r w:rsidRPr="00DD2766">
        <w:rPr>
          <w:lang w:eastAsia="fi-FI"/>
        </w:rPr>
        <w:t xml:space="preserve">Toimittajalla tulee olla viimeisen kolmen vuoden ajalta vähintään </w:t>
      </w:r>
      <w:r w:rsidR="00F06B3E">
        <w:rPr>
          <w:lang w:eastAsia="fi-FI"/>
        </w:rPr>
        <w:t>x kpl</w:t>
      </w:r>
      <w:r w:rsidRPr="00DD2766">
        <w:rPr>
          <w:lang w:eastAsia="fi-FI"/>
        </w:rPr>
        <w:t xml:space="preserve"> </w:t>
      </w:r>
      <w:r>
        <w:rPr>
          <w:lang w:eastAsia="fi-FI"/>
        </w:rPr>
        <w:t>suunnittelu</w:t>
      </w:r>
      <w:r w:rsidRPr="00DD2766">
        <w:rPr>
          <w:lang w:eastAsia="fi-FI"/>
        </w:rPr>
        <w:t>toimeksiantoa</w:t>
      </w:r>
      <w:r w:rsidR="00500A0F">
        <w:rPr>
          <w:lang w:eastAsia="fi-FI"/>
        </w:rPr>
        <w:t>, jo</w:t>
      </w:r>
      <w:r w:rsidR="00927D0F">
        <w:rPr>
          <w:lang w:eastAsia="fi-FI"/>
        </w:rPr>
        <w:t xml:space="preserve">tka ovat sisältäneet vähintään </w:t>
      </w:r>
      <w:r w:rsidR="00F06B3E">
        <w:rPr>
          <w:lang w:eastAsia="fi-FI"/>
        </w:rPr>
        <w:t>x</w:t>
      </w:r>
      <w:r w:rsidR="00500A0F">
        <w:rPr>
          <w:lang w:eastAsia="fi-FI"/>
        </w:rPr>
        <w:t xml:space="preserve"> m katusuunnittelua ja </w:t>
      </w:r>
      <w:r w:rsidR="00F06B3E">
        <w:rPr>
          <w:lang w:eastAsia="fi-FI"/>
        </w:rPr>
        <w:t>x</w:t>
      </w:r>
      <w:r w:rsidR="00500A0F">
        <w:rPr>
          <w:lang w:eastAsia="fi-FI"/>
        </w:rPr>
        <w:t xml:space="preserve"> m2 viheralue- ja puistosuunnittelua.</w:t>
      </w:r>
    </w:p>
    <w:p w14:paraId="506BDD41" w14:textId="4B6B3CA6" w:rsidR="002F6AC0" w:rsidRPr="00927D0F" w:rsidRDefault="002F6AC0" w:rsidP="00927D0F">
      <w:pPr>
        <w:rPr>
          <w:color w:val="ED7D31" w:themeColor="accent2"/>
          <w:lang w:eastAsia="fi-FI"/>
        </w:rPr>
      </w:pPr>
      <w:r>
        <w:rPr>
          <w:lang w:eastAsia="fi-FI"/>
        </w:rPr>
        <w:lastRenderedPageBreak/>
        <w:t>Kussakin tehtävässä referenssin voimassaoloajan katsotaan alkavan viimeistään takuuajan päättymisestä.</w:t>
      </w:r>
      <w:r w:rsidR="0075076A">
        <w:rPr>
          <w:lang w:eastAsia="fi-FI"/>
        </w:rPr>
        <w:t xml:space="preserve"> </w:t>
      </w:r>
      <w:r w:rsidR="0075076A" w:rsidRPr="0075076A">
        <w:rPr>
          <w:color w:val="538135" w:themeColor="accent6" w:themeShade="BF"/>
          <w:lang w:eastAsia="fi-FI"/>
        </w:rPr>
        <w:t>(Hankintayksikkö voi määrittää myös muun ajankohdan, jolloin referenssin voimassaoloajan katsotaan alkavan)</w:t>
      </w:r>
    </w:p>
    <w:p w14:paraId="0EC5EC95" w14:textId="77777777" w:rsidR="005524C1" w:rsidRDefault="005524C1" w:rsidP="005524C1">
      <w:pPr>
        <w:pStyle w:val="Otsikko1"/>
      </w:pPr>
      <w:bookmarkStart w:id="4" w:name="_Toc469578710"/>
      <w:r>
        <w:t>Tarjouksen sisältö ja jättäminen</w:t>
      </w:r>
      <w:bookmarkEnd w:id="4"/>
    </w:p>
    <w:p w14:paraId="5A11BF08" w14:textId="77777777" w:rsidR="005524C1" w:rsidRDefault="005524C1" w:rsidP="005524C1">
      <w:pPr>
        <w:pStyle w:val="Otsikko2"/>
      </w:pPr>
      <w:r>
        <w:t>Tarjouksen sisältöohje</w:t>
      </w:r>
    </w:p>
    <w:p w14:paraId="23A83221" w14:textId="662C4674" w:rsidR="008C7F83" w:rsidRDefault="008C7F83" w:rsidP="008C7F83">
      <w:pPr>
        <w:spacing w:before="240"/>
      </w:pPr>
      <w:r>
        <w:t>Tarjous laaditaan hankintayksikön kilpailutusjärjestelmässä.</w:t>
      </w:r>
      <w:r w:rsidRPr="004C6565">
        <w:t xml:space="preserve"> </w:t>
      </w:r>
      <w:r w:rsidRPr="000F38E2">
        <w:t>Tarjous liitteineen on tehtävä kirjallisesti suomen kielellä</w:t>
      </w:r>
      <w:r w:rsidRPr="001D08D4">
        <w:t xml:space="preserve"> </w:t>
      </w:r>
      <w:r>
        <w:t xml:space="preserve">hankintayksikön </w:t>
      </w:r>
      <w:r w:rsidR="004C011A">
        <w:t>kilpailutusjärjestelmässä</w:t>
      </w:r>
      <w:r>
        <w:t xml:space="preserve"> pyydetyllä tavalla eriteltynä</w:t>
      </w:r>
      <w:r w:rsidRPr="000F38E2">
        <w:t>.</w:t>
      </w:r>
      <w:r w:rsidRPr="009C2D28">
        <w:t xml:space="preserve"> </w:t>
      </w:r>
      <w:r w:rsidRPr="000F38E2">
        <w:t xml:space="preserve">Tarjouksen tulee sisältää ne selvitykset ja todistukset, jotka on pyydetty liittämään tarjoukseen </w:t>
      </w:r>
      <w:r>
        <w:t xml:space="preserve">tässä tarjouspyynnössä, tarjouspyynnön liitteissä ja hankintayksikön </w:t>
      </w:r>
      <w:r w:rsidR="004C011A">
        <w:t>k</w:t>
      </w:r>
      <w:r w:rsidR="00F1137B">
        <w:t>ilpailutusjärjestelmän</w:t>
      </w:r>
      <w:r>
        <w:t xml:space="preserve"> tarjouslomakkeessa </w:t>
      </w:r>
      <w:r w:rsidRPr="000F38E2">
        <w:t>tai</w:t>
      </w:r>
      <w:r>
        <w:t xml:space="preserve"> on</w:t>
      </w:r>
      <w:r w:rsidRPr="000F38E2">
        <w:t xml:space="preserve"> pyydetty toimittamaan erikseen esitetyssä määräajassa. Selvityksien tai todistuksien osalta puutteelliset tarjoukset hylätään tarjouspyynnön vastaisina.</w:t>
      </w:r>
    </w:p>
    <w:p w14:paraId="18E7D60B" w14:textId="4AB34ABC" w:rsidR="0095378D" w:rsidRDefault="0095378D" w:rsidP="00002ACD">
      <w:r>
        <w:t>Sama toimittaja voi tehdä tarjouksen koskien yhtä tai useampaa tässä tarjouspyynnössä kohdassa 2 esitettyä tehtävää koskien.</w:t>
      </w:r>
      <w:r w:rsidRPr="0095378D">
        <w:t xml:space="preserve"> </w:t>
      </w:r>
    </w:p>
    <w:p w14:paraId="51FC9891" w14:textId="77777777" w:rsidR="00821651" w:rsidRDefault="00ED5445" w:rsidP="00ED5445">
      <w:r>
        <w:t>Tarjous ei saa olla ehdollinen eikä t</w:t>
      </w:r>
      <w:r w:rsidRPr="000F38E2">
        <w:t>arjoajalla ole mahdollisuutta esittää omia sopimusehtoja. Tarjoajan lisäämiä sopimusehtoja sisältävät tarjoukset hylätään tarjouspyynnön vastaisina.</w:t>
      </w:r>
      <w:r>
        <w:t xml:space="preserve"> </w:t>
      </w:r>
    </w:p>
    <w:p w14:paraId="49142BA3" w14:textId="614CF86C" w:rsidR="00ED5445" w:rsidRPr="000F38E2" w:rsidRDefault="00ED5445" w:rsidP="00ED5445">
      <w:pPr>
        <w:rPr>
          <w:rFonts w:ascii="Times New Roman" w:hAnsi="Times New Roman" w:cs="Times New Roman"/>
          <w:sz w:val="24"/>
          <w:szCs w:val="24"/>
        </w:rPr>
      </w:pPr>
      <w:r>
        <w:t>V</w:t>
      </w:r>
      <w:r w:rsidRPr="000F38E2">
        <w:t>aihtoehtoisia tarjouksia ei hyväksytä.</w:t>
      </w:r>
      <w:r w:rsidR="00E002F1">
        <w:t xml:space="preserve"> </w:t>
      </w:r>
      <w:r w:rsidR="00E002F1" w:rsidRPr="00E002F1">
        <w:rPr>
          <w:color w:val="538135" w:themeColor="accent6" w:themeShade="BF"/>
        </w:rPr>
        <w:t>(Hankintayksikkö voi esittää myös hyväksyvänsä vaihtoehtoiset tarjoukset)</w:t>
      </w:r>
    </w:p>
    <w:p w14:paraId="36D29E6A" w14:textId="27F382AC" w:rsidR="00ED5445" w:rsidRDefault="00ED5445" w:rsidP="00002ACD">
      <w:r>
        <w:t xml:space="preserve">Tarjouksen tulee olla voimassa vähintään </w:t>
      </w:r>
      <w:r w:rsidR="008A01B4">
        <w:t>x</w:t>
      </w:r>
      <w:r>
        <w:t xml:space="preserve"> kuukautta tarjousten jättämisen määräajan umpeutumisesta.</w:t>
      </w:r>
    </w:p>
    <w:p w14:paraId="7336F919" w14:textId="77777777" w:rsidR="00ED5445" w:rsidRDefault="00ED5445" w:rsidP="00ED5445">
      <w:pPr>
        <w:pStyle w:val="Otsikko2"/>
      </w:pPr>
      <w:r>
        <w:t>Tarjoukseen laadittavat liitteet</w:t>
      </w:r>
    </w:p>
    <w:p w14:paraId="09C6D793" w14:textId="77530ED6" w:rsidR="00821651" w:rsidRPr="00C66538" w:rsidRDefault="00C66538" w:rsidP="00C66538">
      <w:r w:rsidRPr="00C66538">
        <w:t>Tarjoukseen ei vaadita laadittavan liiteasiakirjoja.</w:t>
      </w:r>
    </w:p>
    <w:p w14:paraId="40297ED2" w14:textId="77777777" w:rsidR="00ED5445" w:rsidRPr="00821651" w:rsidRDefault="00ED5445" w:rsidP="00ED5445">
      <w:r w:rsidRPr="00821651">
        <w:t>Luettelo muista tarjoukseen liitettävistä asiakirjoista on esitetty liitteessä 4.</w:t>
      </w:r>
    </w:p>
    <w:p w14:paraId="506F5C44" w14:textId="551F747C" w:rsidR="00ED5445" w:rsidRDefault="00ED5445" w:rsidP="00ED5445">
      <w:pPr>
        <w:pStyle w:val="Otsikko2"/>
      </w:pPr>
      <w:r>
        <w:t>Tarjouksessa nimettävät henkilöt</w:t>
      </w:r>
    </w:p>
    <w:p w14:paraId="5C0E553E" w14:textId="3E77765D" w:rsidR="006B6B33" w:rsidRPr="00A1276F" w:rsidRDefault="006B6B33" w:rsidP="006B6B33">
      <w:r w:rsidRPr="00A1276F">
        <w:t xml:space="preserve">Tarjouksessa tulee </w:t>
      </w:r>
      <w:r>
        <w:t>esittää</w:t>
      </w:r>
      <w:r w:rsidRPr="00A1276F">
        <w:t xml:space="preserve"> yhteyshenkilö, johon hankintayksikkö </w:t>
      </w:r>
      <w:r w:rsidR="00E10293">
        <w:t>on</w:t>
      </w:r>
      <w:r w:rsidRPr="00A1276F">
        <w:t xml:space="preserve"> yhteydessä </w:t>
      </w:r>
      <w:r w:rsidR="00D3245D">
        <w:t>hankinta</w:t>
      </w:r>
      <w:r w:rsidRPr="00A1276F">
        <w:t xml:space="preserve">menettelyn aikana. </w:t>
      </w:r>
      <w:r w:rsidR="0001743C">
        <w:t>Toimittajan tulee nimetä tarjouksessaan myös sopimusvastuuhenkilö.</w:t>
      </w:r>
    </w:p>
    <w:p w14:paraId="2CE90943" w14:textId="77777777" w:rsidR="00467057" w:rsidRDefault="00467057" w:rsidP="006B6B33">
      <w:r>
        <w:t xml:space="preserve">Tarjouksessa tulee </w:t>
      </w:r>
      <w:r w:rsidR="00531686">
        <w:t>esittää</w:t>
      </w:r>
      <w:r w:rsidR="00826768">
        <w:t xml:space="preserve"> </w:t>
      </w:r>
      <w:r w:rsidR="00531686">
        <w:t>kuhunkin tarjottavaan tehtävään:</w:t>
      </w:r>
    </w:p>
    <w:p w14:paraId="03150BBC" w14:textId="31B71E6C" w:rsidR="00467057" w:rsidRDefault="00531686" w:rsidP="00467057">
      <w:pPr>
        <w:pStyle w:val="Luettelokappale"/>
        <w:numPr>
          <w:ilvl w:val="0"/>
          <w:numId w:val="10"/>
        </w:numPr>
      </w:pPr>
      <w:r>
        <w:t>työhön osallistuva projektipäällikkö</w:t>
      </w:r>
      <w:r w:rsidR="00331609">
        <w:t xml:space="preserve">, joka on suorassa työsuhteessa tarjoavaan yritykseen tai </w:t>
      </w:r>
      <w:r w:rsidR="00834BC5">
        <w:t>ryhmittymän</w:t>
      </w:r>
      <w:r w:rsidR="00331609">
        <w:t xml:space="preserve"> </w:t>
      </w:r>
      <w:r w:rsidR="005A2728">
        <w:t>jäseneen</w:t>
      </w:r>
    </w:p>
    <w:p w14:paraId="361248F7" w14:textId="2323E0C8" w:rsidR="001234CA" w:rsidRPr="001234CA" w:rsidRDefault="00531686" w:rsidP="006B6B33">
      <w:r w:rsidRPr="001234CA">
        <w:t xml:space="preserve">Esitettyjä henkilöitä ei saa vaihtaa toimeksiannon aikana ilman </w:t>
      </w:r>
      <w:r w:rsidR="00FD360A">
        <w:t>hankintayksikön</w:t>
      </w:r>
      <w:r w:rsidRPr="001234CA">
        <w:t xml:space="preserve"> kirjallista suostumusta. </w:t>
      </w:r>
      <w:r w:rsidR="000150D1" w:rsidRPr="001234CA">
        <w:t xml:space="preserve">Uudet henkilöt hyväksytetään sopimuskauden aikana hankintayksiköllä erikseen. </w:t>
      </w:r>
    </w:p>
    <w:p w14:paraId="0B74478A" w14:textId="20736AAD" w:rsidR="006B6B33" w:rsidRDefault="007939B0" w:rsidP="006B6B33">
      <w:r>
        <w:t xml:space="preserve">Esitettävän varahenkilön tulee täyttää samat vähimmäisvaatimukset, jotka on esitetty henkilölle, jota varahenkilö tarvittaessa korvaa. Jos nimettyyn henkilöön liittyviä ominaisuuksia käytetään tarjousten arviointiperusteena, tulee varahenkilön olla liitteen </w:t>
      </w:r>
      <w:r w:rsidR="00F55F1B">
        <w:t>3</w:t>
      </w:r>
      <w:r>
        <w:t xml:space="preserve"> </w:t>
      </w:r>
      <w:r>
        <w:lastRenderedPageBreak/>
        <w:t xml:space="preserve">”Arviointiperusteet” mukaisesti arvioitaessa vähintään samaa tasoa. </w:t>
      </w:r>
      <w:r w:rsidR="00C23887">
        <w:t>Projektipäällikköä</w:t>
      </w:r>
      <w:r w:rsidR="006B6B33">
        <w:t xml:space="preserve"> ei saa korvata varahenkilöllä toimeksiannon aikana ilman </w:t>
      </w:r>
      <w:r w:rsidR="00F527F1">
        <w:t>hankintayksikön</w:t>
      </w:r>
      <w:r w:rsidR="00690C07">
        <w:t xml:space="preserve"> kirjallista suostumusta.</w:t>
      </w:r>
    </w:p>
    <w:p w14:paraId="7387D15C" w14:textId="2EA3521F" w:rsidR="00690C07" w:rsidRDefault="00690C07" w:rsidP="006B6B33">
      <w:r>
        <w:t>Nimettyjen henkilöiden osalta arviointia varten toimitettavat asiakirjat on esitetty liitteessä 4.</w:t>
      </w:r>
    </w:p>
    <w:p w14:paraId="2A16D797" w14:textId="77777777" w:rsidR="008D2A5E" w:rsidRDefault="008D2A5E" w:rsidP="008D2A5E">
      <w:pPr>
        <w:pStyle w:val="Otsikko2"/>
      </w:pPr>
      <w:r>
        <w:t>Tarjousten julkisuus</w:t>
      </w:r>
    </w:p>
    <w:p w14:paraId="3978F2DF" w14:textId="4F80CC37" w:rsidR="003025A3" w:rsidRDefault="003025A3" w:rsidP="003025A3">
      <w:r>
        <w:t>Hankintayksikön asiakirjojen julkisuuteen ja asianosaisten tiedonsaantioikeuteen sovelletaan viranomaisten julkisuudesta annettua lakia (621/1999).</w:t>
      </w:r>
    </w:p>
    <w:p w14:paraId="0A2FACED" w14:textId="54880B3D" w:rsidR="00FC0F1A" w:rsidRDefault="00002ACD" w:rsidP="00002ACD">
      <w:r w:rsidRPr="000F38E2">
        <w:t xml:space="preserve">Hankintapäätös ja sen liitteet ovat julkisia päätöksen allekirjoituksen jälkeen. Muut hankinta-asiakirjat ovat julkisia sopimuksen tekemisen jälkeen. Jos tarjoajan mielestä jokin osa tarjousta sisältää liikesalaisuuksia on tarjoajan </w:t>
      </w:r>
      <w:r>
        <w:t xml:space="preserve">merkittävä nämä tiedot kilpailutusjärjestelmässä salaisiksi. </w:t>
      </w:r>
      <w:r w:rsidRPr="000F38E2">
        <w:t xml:space="preserve"> </w:t>
      </w:r>
      <w:r w:rsidR="009960FB">
        <w:t>Hankintayksikkö</w:t>
      </w:r>
      <w:r w:rsidRPr="000F38E2">
        <w:t xml:space="preserve"> harkitsee, ovatko liikesalaisuuksiksi esitetyt asiat lain mukaan salassa pidettäviä.</w:t>
      </w:r>
      <w:r>
        <w:t xml:space="preserve"> </w:t>
      </w:r>
      <w:r w:rsidR="008A01B4" w:rsidRPr="008A01B4">
        <w:t>Julkisuuslain mukaisesti tieto tarjouksen vertailusta käytetystä kokonaishinnasta ei ole liikesalaisuutena pidettävä asia.</w:t>
      </w:r>
    </w:p>
    <w:p w14:paraId="0BDF2A34" w14:textId="77777777" w:rsidR="00A71ED8" w:rsidRDefault="00A71ED8" w:rsidP="00A71ED8">
      <w:pPr>
        <w:pStyle w:val="Otsikko2"/>
      </w:pPr>
      <w:r>
        <w:t>Alikonsulttien käyttäminen</w:t>
      </w:r>
    </w:p>
    <w:p w14:paraId="0B62C0D2" w14:textId="4C9952D8" w:rsidR="00E85B54" w:rsidRDefault="00E85B54" w:rsidP="00E85B54">
      <w:r>
        <w:t xml:space="preserve">Alikonsultteja </w:t>
      </w:r>
      <w:r w:rsidR="00EF5BEE">
        <w:t>voidaan käyttää</w:t>
      </w:r>
      <w:r w:rsidR="004A501F">
        <w:t xml:space="preserve"> puitejärjestelyyn perustuvissa toimeksiannoissa</w:t>
      </w:r>
      <w:r w:rsidR="00EF5BEE">
        <w:t xml:space="preserve"> vain osatehtävää täydentävään suunnitteluun.</w:t>
      </w:r>
      <w:r w:rsidR="004659D6">
        <w:t xml:space="preserve"> Projektipäällikön tehtäviä ei voi</w:t>
      </w:r>
      <w:r w:rsidR="004A501F">
        <w:t xml:space="preserve"> antaa alihankintana t</w:t>
      </w:r>
      <w:r w:rsidR="00287B7C">
        <w:t>oisaalle.</w:t>
      </w:r>
    </w:p>
    <w:p w14:paraId="04C1CD89" w14:textId="77777777" w:rsidR="0086655E" w:rsidRDefault="00B23CE9" w:rsidP="006B6B33">
      <w:r>
        <w:t>Käytettävät alikonsultit tulee</w:t>
      </w:r>
      <w:r w:rsidR="00DD7A4A">
        <w:t xml:space="preserve"> </w:t>
      </w:r>
      <w:r>
        <w:t>hyväksyttää kussakin toimeksiannossa ennen</w:t>
      </w:r>
      <w:r w:rsidRPr="00C11907">
        <w:t xml:space="preserve"> alikonsultin työn alkamista</w:t>
      </w:r>
      <w:r w:rsidR="004659D6" w:rsidRPr="00C11907">
        <w:t xml:space="preserve">. </w:t>
      </w:r>
      <w:r w:rsidR="00E85B54">
        <w:t xml:space="preserve">Alihankkijoiden ilmoittaminen ei rajoita pääasiallisen tarjoajan vastuuta hankinnan toteuttamisesta. </w:t>
      </w:r>
    </w:p>
    <w:p w14:paraId="181481AA" w14:textId="09FACB12" w:rsidR="00C11907" w:rsidRPr="00176FA0" w:rsidRDefault="00500CDF" w:rsidP="006B6B33">
      <w:r w:rsidRPr="00176FA0">
        <w:t xml:space="preserve">Hankintayksiköllä on oikeus </w:t>
      </w:r>
      <w:r w:rsidR="00260C8F" w:rsidRPr="00176FA0">
        <w:t>vaatia</w:t>
      </w:r>
      <w:r w:rsidRPr="00176FA0">
        <w:t xml:space="preserve"> toimittajaa </w:t>
      </w:r>
      <w:r w:rsidR="00255BAA" w:rsidRPr="00176FA0">
        <w:t>korvaamaan</w:t>
      </w:r>
      <w:r w:rsidR="00260C8F" w:rsidRPr="00176FA0">
        <w:t xml:space="preserve"> ja toimittajalla velvollisuus korvata</w:t>
      </w:r>
      <w:r w:rsidRPr="00176FA0">
        <w:t xml:space="preserve"> alikonsultti</w:t>
      </w:r>
      <w:r w:rsidR="00255BAA" w:rsidRPr="00176FA0">
        <w:t xml:space="preserve"> toisella alikonsultilla</w:t>
      </w:r>
      <w:r w:rsidRPr="00176FA0">
        <w:t xml:space="preserve">, jos </w:t>
      </w:r>
      <w:r w:rsidR="00397D7D" w:rsidRPr="00176FA0">
        <w:t>toimittajan esittämää</w:t>
      </w:r>
      <w:r w:rsidRPr="00176FA0">
        <w:t xml:space="preserve"> alikonsulttia rasittaa jokin hankintalain 80 §:ssä tarkoitettu pakollinen poissulkemisperuste tai 81 §:ssä tarkoitettu harkinnanvarainen poissulkemisperuste.</w:t>
      </w:r>
    </w:p>
    <w:p w14:paraId="202B7806" w14:textId="71527940" w:rsidR="00A75D37" w:rsidRPr="00D55785" w:rsidRDefault="00A75D37" w:rsidP="006B6B33">
      <w:r w:rsidRPr="00D55785">
        <w:t>Mahdollisten alikonsulttien palkkioiden tulee sisältyä toimittajan tarjoukseen ja niiden laskutus tapahtuu</w:t>
      </w:r>
      <w:r w:rsidR="00C11907" w:rsidRPr="00D55785">
        <w:t xml:space="preserve"> </w:t>
      </w:r>
      <w:r w:rsidR="00CE731F">
        <w:t>pääasiallisen toimittajan</w:t>
      </w:r>
      <w:r w:rsidRPr="00D55785">
        <w:t xml:space="preserve"> kautta. </w:t>
      </w:r>
      <w:r w:rsidR="00C11907" w:rsidRPr="00D55785">
        <w:t xml:space="preserve">Alikonsulttien hintojen tulee olla enimmillään </w:t>
      </w:r>
      <w:r w:rsidR="00816337" w:rsidRPr="00D55785">
        <w:t>yhtä suuret</w:t>
      </w:r>
      <w:r w:rsidR="00500CDF" w:rsidRPr="00D55785">
        <w:t xml:space="preserve"> kuin </w:t>
      </w:r>
      <w:r w:rsidR="00CE731F">
        <w:t xml:space="preserve">pääasiallisella </w:t>
      </w:r>
      <w:r w:rsidR="00500CDF" w:rsidRPr="00D55785">
        <w:t>toimittajalla</w:t>
      </w:r>
      <w:r w:rsidR="00C11907" w:rsidRPr="00D55785">
        <w:t xml:space="preserve">. </w:t>
      </w:r>
      <w:r w:rsidR="00B12278">
        <w:t>A</w:t>
      </w:r>
      <w:r w:rsidR="00C11907" w:rsidRPr="00D55785">
        <w:t xml:space="preserve">likonsultin suorittamista töistä </w:t>
      </w:r>
      <w:r w:rsidRPr="00D55785">
        <w:t>ei makseta</w:t>
      </w:r>
      <w:r w:rsidR="00B12278">
        <w:t xml:space="preserve"> erillistä laskutuslisää</w:t>
      </w:r>
      <w:r w:rsidRPr="00D55785">
        <w:t xml:space="preserve"> eikä alihankintana tehtyyn työhön lisätä katetta.</w:t>
      </w:r>
      <w:r w:rsidR="00F96E2B" w:rsidRPr="00D55785">
        <w:t xml:space="preserve"> </w:t>
      </w:r>
    </w:p>
    <w:p w14:paraId="3EA84EA7" w14:textId="77777777" w:rsidR="003D20A2" w:rsidRDefault="003D20A2" w:rsidP="003D20A2">
      <w:pPr>
        <w:pStyle w:val="Otsikko2"/>
      </w:pPr>
      <w:r>
        <w:t>Tarjouksen jättäminen</w:t>
      </w:r>
    </w:p>
    <w:p w14:paraId="59DE39A7" w14:textId="69DCFBBF" w:rsidR="0015272A" w:rsidRDefault="0015272A" w:rsidP="0015272A">
      <w:r>
        <w:t xml:space="preserve">Tarjous </w:t>
      </w:r>
      <w:r w:rsidR="008E3420">
        <w:t xml:space="preserve">tulee jättää hankintayksikön sähköisessä </w:t>
      </w:r>
      <w:r w:rsidR="0081682B">
        <w:t>kilpailutusjärjestelmässä</w:t>
      </w:r>
      <w:r w:rsidR="008E3420">
        <w:t xml:space="preserve"> osoitteessa www.kuntalankilpailuttamisportaali.fi pp.kk.vvvv klo hh:mm mennessä. Tarjous jätetään </w:t>
      </w:r>
      <w:r w:rsidR="0081682B">
        <w:t>kilpailutusjärjestelmässä</w:t>
      </w:r>
      <w:r w:rsidR="008E3420">
        <w:t xml:space="preserve"> lomakepohjaisesti ja pyydetyin liiteasiakirjoin. </w:t>
      </w:r>
      <w:r w:rsidR="008668A1">
        <w:t>Tarjousten jättäminen ei ole mahdollista tarjousajan päättymisen jälkeen.</w:t>
      </w:r>
    </w:p>
    <w:p w14:paraId="3D56A578" w14:textId="77777777" w:rsidR="008933F4" w:rsidRPr="008933F4" w:rsidRDefault="008668A1" w:rsidP="008933F4">
      <w:pPr>
        <w:rPr>
          <w:rFonts w:ascii="Times New Roman" w:hAnsi="Times New Roman" w:cs="Times New Roman"/>
          <w:sz w:val="24"/>
          <w:szCs w:val="24"/>
        </w:rPr>
      </w:pPr>
      <w:r w:rsidRPr="000F38E2">
        <w:t xml:space="preserve">Kukin toimittaja on oikeutettu tekemään yhden tarjouksen. </w:t>
      </w:r>
      <w:r>
        <w:t xml:space="preserve">Jos toimittaja tehnyt rinnakkaisia tarjouksia, otetaan vertailuun mukaan ainoastaan viimeisimpänä saapunut tarjous. </w:t>
      </w:r>
      <w:r w:rsidRPr="006E4C84">
        <w:t xml:space="preserve">Sama </w:t>
      </w:r>
      <w:r>
        <w:t>toimittaja</w:t>
      </w:r>
      <w:r w:rsidRPr="006E4C84">
        <w:t xml:space="preserve"> voi toimia alikonsulttina useammassa tarjouksessa</w:t>
      </w:r>
      <w:r>
        <w:rPr>
          <w:rFonts w:ascii="Times New Roman" w:hAnsi="Times New Roman" w:cs="Times New Roman"/>
          <w:sz w:val="24"/>
          <w:szCs w:val="24"/>
        </w:rPr>
        <w:t>.</w:t>
      </w:r>
    </w:p>
    <w:p w14:paraId="4016B25A" w14:textId="77777777" w:rsidR="00090E0F" w:rsidRDefault="00090E0F" w:rsidP="00090E0F">
      <w:pPr>
        <w:pStyle w:val="Otsikko1"/>
      </w:pPr>
      <w:bookmarkStart w:id="5" w:name="_Toc469578711"/>
      <w:r>
        <w:lastRenderedPageBreak/>
        <w:t>Tarjousten käsittely</w:t>
      </w:r>
      <w:bookmarkEnd w:id="5"/>
    </w:p>
    <w:p w14:paraId="41C504A8" w14:textId="77777777" w:rsidR="00090E0F" w:rsidRDefault="00090E0F" w:rsidP="00090E0F">
      <w:r>
        <w:t>Tarjousajan päätyttyä hankintayksikkö käsittelee saapuneet tarjoukset dokumentoidusti. Tarjousten käsittely sisältää seuraavat vaiheet:</w:t>
      </w:r>
    </w:p>
    <w:p w14:paraId="3E507254" w14:textId="77777777" w:rsidR="00090E0F" w:rsidRDefault="00090E0F" w:rsidP="00090E0F">
      <w:pPr>
        <w:pStyle w:val="Luettelokappale"/>
        <w:numPr>
          <w:ilvl w:val="0"/>
          <w:numId w:val="8"/>
        </w:numPr>
      </w:pPr>
      <w:r>
        <w:t>Tarjousten avaaminen tarjousajan päätyttyä</w:t>
      </w:r>
    </w:p>
    <w:p w14:paraId="2F3EDD6E" w14:textId="07E91F81" w:rsidR="00090E0F" w:rsidRDefault="00D55785" w:rsidP="00090E0F">
      <w:pPr>
        <w:pStyle w:val="Luettelokappale"/>
        <w:numPr>
          <w:ilvl w:val="0"/>
          <w:numId w:val="8"/>
        </w:numPr>
      </w:pPr>
      <w:r>
        <w:t xml:space="preserve">Tarjousten tarjouspyynnön </w:t>
      </w:r>
      <w:r w:rsidR="00090E0F">
        <w:t>mukaisuuden tarkistaminen</w:t>
      </w:r>
    </w:p>
    <w:p w14:paraId="19C1816E" w14:textId="7BC3DB82" w:rsidR="00090E0F" w:rsidRDefault="00090E0F" w:rsidP="00090E0F">
      <w:pPr>
        <w:pStyle w:val="Luettelokappale"/>
        <w:numPr>
          <w:ilvl w:val="0"/>
          <w:numId w:val="8"/>
        </w:numPr>
      </w:pPr>
      <w:r>
        <w:t>Tarjousten arviointi ja vertailu</w:t>
      </w:r>
      <w:r w:rsidR="002318AD">
        <w:t xml:space="preserve"> </w:t>
      </w:r>
      <w:r>
        <w:t xml:space="preserve">kohdassa </w:t>
      </w:r>
      <w:r w:rsidR="00315051">
        <w:t>6</w:t>
      </w:r>
      <w:r w:rsidRPr="00724713">
        <w:t xml:space="preserve">.1 </w:t>
      </w:r>
      <w:r>
        <w:t>esitetyin kokonaistaloudellisen edul</w:t>
      </w:r>
      <w:r w:rsidR="00EE14A9">
        <w:t>lisuuden perusteiden mukaisesti</w:t>
      </w:r>
    </w:p>
    <w:p w14:paraId="2F8F22D7" w14:textId="60022424" w:rsidR="00090E0F" w:rsidRPr="00193A6D" w:rsidRDefault="00090E0F" w:rsidP="00090E0F">
      <w:pPr>
        <w:pStyle w:val="Luettelokappale"/>
        <w:numPr>
          <w:ilvl w:val="0"/>
          <w:numId w:val="8"/>
        </w:numPr>
      </w:pPr>
      <w:r>
        <w:t>Poissulkemisen edellytysten ja soveltuvuusvaatimuksen täyttymisen selvittäminen valitu</w:t>
      </w:r>
      <w:r w:rsidR="00EF1620">
        <w:t>i</w:t>
      </w:r>
      <w:r>
        <w:t xml:space="preserve">lta </w:t>
      </w:r>
      <w:r w:rsidR="00F57DEF">
        <w:t>toimittaj</w:t>
      </w:r>
      <w:r w:rsidR="00EF1620">
        <w:t>i</w:t>
      </w:r>
      <w:r w:rsidR="00F57DEF">
        <w:t>lta</w:t>
      </w:r>
      <w:r>
        <w:t xml:space="preserve"> ellei selvitetty aiemmassa vaiheessa hankintamenettelyä</w:t>
      </w:r>
    </w:p>
    <w:p w14:paraId="21386FB1" w14:textId="77777777" w:rsidR="00090E0F" w:rsidRDefault="00090E0F" w:rsidP="00090E0F">
      <w:pPr>
        <w:pStyle w:val="Otsikko2"/>
      </w:pPr>
      <w:r>
        <w:t>Kokonaistaloudellisesti edullisimman tarjouksen valinta</w:t>
      </w:r>
    </w:p>
    <w:p w14:paraId="0D21AE1F" w14:textId="77777777" w:rsidR="00A25726" w:rsidRDefault="00090E0F" w:rsidP="00090E0F">
      <w:r>
        <w:t xml:space="preserve">Kokonaistaloudellisen edullisuuden perusteena käytetään parasta hinta-laatusuhdetta. </w:t>
      </w:r>
      <w:r w:rsidR="00A25726">
        <w:t>Vertailuperusteiden suhteellinen painotus on seuraava:</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065"/>
      </w:tblGrid>
      <w:tr w:rsidR="00A25726" w14:paraId="657CDDB7" w14:textId="77777777" w:rsidTr="00621C2F">
        <w:tc>
          <w:tcPr>
            <w:tcW w:w="4508" w:type="dxa"/>
            <w:tcBorders>
              <w:top w:val="single" w:sz="4" w:space="0" w:color="auto"/>
              <w:bottom w:val="single" w:sz="4" w:space="0" w:color="auto"/>
            </w:tcBorders>
          </w:tcPr>
          <w:p w14:paraId="6021A66A" w14:textId="77777777" w:rsidR="00A25726" w:rsidRPr="00621C2F" w:rsidRDefault="00A25726" w:rsidP="00B12278">
            <w:pPr>
              <w:spacing w:before="240"/>
              <w:rPr>
                <w:b/>
              </w:rPr>
            </w:pPr>
            <w:r w:rsidRPr="00621C2F">
              <w:rPr>
                <w:b/>
              </w:rPr>
              <w:t>Vertailuperuste</w:t>
            </w:r>
          </w:p>
        </w:tc>
        <w:tc>
          <w:tcPr>
            <w:tcW w:w="4508" w:type="dxa"/>
            <w:tcBorders>
              <w:top w:val="single" w:sz="4" w:space="0" w:color="auto"/>
              <w:bottom w:val="single" w:sz="4" w:space="0" w:color="auto"/>
            </w:tcBorders>
          </w:tcPr>
          <w:p w14:paraId="05FA1178" w14:textId="77777777" w:rsidR="00A25726" w:rsidRPr="00621C2F" w:rsidRDefault="00A25726" w:rsidP="00B12278">
            <w:pPr>
              <w:spacing w:before="240"/>
              <w:rPr>
                <w:b/>
              </w:rPr>
            </w:pPr>
            <w:r w:rsidRPr="00621C2F">
              <w:rPr>
                <w:b/>
              </w:rPr>
              <w:t>Painotus</w:t>
            </w:r>
          </w:p>
        </w:tc>
      </w:tr>
      <w:tr w:rsidR="00A25726" w14:paraId="60F07C6A" w14:textId="77777777" w:rsidTr="00621C2F">
        <w:tc>
          <w:tcPr>
            <w:tcW w:w="4508" w:type="dxa"/>
            <w:tcBorders>
              <w:top w:val="single" w:sz="4" w:space="0" w:color="auto"/>
            </w:tcBorders>
          </w:tcPr>
          <w:p w14:paraId="0252AD5F" w14:textId="77777777" w:rsidR="00A25726" w:rsidRPr="00621C2F" w:rsidRDefault="00A85F03" w:rsidP="00B12278">
            <w:pPr>
              <w:spacing w:before="240"/>
            </w:pPr>
            <w:r w:rsidRPr="00621C2F">
              <w:t>Hinta</w:t>
            </w:r>
          </w:p>
        </w:tc>
        <w:tc>
          <w:tcPr>
            <w:tcW w:w="4508" w:type="dxa"/>
            <w:tcBorders>
              <w:top w:val="single" w:sz="4" w:space="0" w:color="auto"/>
            </w:tcBorders>
          </w:tcPr>
          <w:p w14:paraId="38D1BA9A" w14:textId="130641B3" w:rsidR="00A25726" w:rsidRPr="0067765C" w:rsidRDefault="0067765C" w:rsidP="00B12278">
            <w:pPr>
              <w:spacing w:before="240"/>
              <w:rPr>
                <w:color w:val="538135" w:themeColor="accent6" w:themeShade="BF"/>
              </w:rPr>
            </w:pPr>
            <w:r>
              <w:rPr>
                <w:color w:val="538135" w:themeColor="accent6" w:themeShade="BF"/>
              </w:rPr>
              <w:t>40-55</w:t>
            </w:r>
            <w:r w:rsidR="00A25726" w:rsidRPr="0067765C">
              <w:rPr>
                <w:color w:val="538135" w:themeColor="accent6" w:themeShade="BF"/>
              </w:rPr>
              <w:t xml:space="preserve"> %</w:t>
            </w:r>
          </w:p>
        </w:tc>
      </w:tr>
      <w:tr w:rsidR="00A25726" w14:paraId="0766A5D7" w14:textId="77777777" w:rsidTr="00621C2F">
        <w:tc>
          <w:tcPr>
            <w:tcW w:w="4508" w:type="dxa"/>
          </w:tcPr>
          <w:p w14:paraId="04E1D085" w14:textId="4F6FF146" w:rsidR="00A25726" w:rsidRPr="00621C2F" w:rsidRDefault="0081682B" w:rsidP="00B12278">
            <w:pPr>
              <w:spacing w:before="240"/>
            </w:pPr>
            <w:r>
              <w:t>Projektipäällik</w:t>
            </w:r>
            <w:r w:rsidR="005E5FB1" w:rsidRPr="00621C2F">
              <w:t>ö</w:t>
            </w:r>
            <w:r>
              <w:t xml:space="preserve">n </w:t>
            </w:r>
            <w:r w:rsidRPr="0081682B">
              <w:t>kokemus, koulutus ja referenssit</w:t>
            </w:r>
          </w:p>
        </w:tc>
        <w:tc>
          <w:tcPr>
            <w:tcW w:w="4508" w:type="dxa"/>
          </w:tcPr>
          <w:p w14:paraId="660921E8" w14:textId="25B85DA9" w:rsidR="00A25726" w:rsidRPr="0067765C" w:rsidRDefault="0067765C" w:rsidP="00B12278">
            <w:pPr>
              <w:spacing w:before="240"/>
              <w:rPr>
                <w:color w:val="538135" w:themeColor="accent6" w:themeShade="BF"/>
              </w:rPr>
            </w:pPr>
            <w:r>
              <w:rPr>
                <w:color w:val="538135" w:themeColor="accent6" w:themeShade="BF"/>
              </w:rPr>
              <w:t>25-35</w:t>
            </w:r>
            <w:r w:rsidR="000B7EC4" w:rsidRPr="0067765C">
              <w:rPr>
                <w:color w:val="538135" w:themeColor="accent6" w:themeShade="BF"/>
              </w:rPr>
              <w:t xml:space="preserve"> %</w:t>
            </w:r>
          </w:p>
        </w:tc>
      </w:tr>
      <w:tr w:rsidR="00A25726" w14:paraId="4A8C4833" w14:textId="77777777" w:rsidTr="00621C2F">
        <w:tc>
          <w:tcPr>
            <w:tcW w:w="4508" w:type="dxa"/>
            <w:tcBorders>
              <w:bottom w:val="single" w:sz="4" w:space="0" w:color="auto"/>
            </w:tcBorders>
          </w:tcPr>
          <w:p w14:paraId="07F4D372" w14:textId="7E310BBA" w:rsidR="00A25726" w:rsidRPr="00621C2F" w:rsidRDefault="005E5FB1" w:rsidP="00B12278">
            <w:pPr>
              <w:spacing w:before="240"/>
            </w:pPr>
            <w:r w:rsidRPr="00621C2F">
              <w:t>Muu</w:t>
            </w:r>
            <w:r w:rsidR="0081682B">
              <w:t>n</w:t>
            </w:r>
            <w:r w:rsidRPr="00621C2F">
              <w:t xml:space="preserve"> henkilöstö</w:t>
            </w:r>
            <w:r w:rsidR="0081682B">
              <w:t xml:space="preserve">n </w:t>
            </w:r>
            <w:r w:rsidR="0081682B" w:rsidRPr="0081682B">
              <w:t>kokemus, koulutus ja referenssit</w:t>
            </w:r>
          </w:p>
        </w:tc>
        <w:tc>
          <w:tcPr>
            <w:tcW w:w="4508" w:type="dxa"/>
            <w:tcBorders>
              <w:bottom w:val="single" w:sz="4" w:space="0" w:color="auto"/>
            </w:tcBorders>
          </w:tcPr>
          <w:p w14:paraId="56606194" w14:textId="67433040" w:rsidR="00A25726" w:rsidRPr="0067765C" w:rsidRDefault="0067765C" w:rsidP="00B12278">
            <w:pPr>
              <w:spacing w:before="240"/>
              <w:rPr>
                <w:color w:val="538135" w:themeColor="accent6" w:themeShade="BF"/>
              </w:rPr>
            </w:pPr>
            <w:r>
              <w:rPr>
                <w:color w:val="538135" w:themeColor="accent6" w:themeShade="BF"/>
              </w:rPr>
              <w:t>15-25</w:t>
            </w:r>
            <w:r w:rsidR="00A25726" w:rsidRPr="0067765C">
              <w:rPr>
                <w:color w:val="538135" w:themeColor="accent6" w:themeShade="BF"/>
              </w:rPr>
              <w:t xml:space="preserve"> %</w:t>
            </w:r>
          </w:p>
        </w:tc>
      </w:tr>
    </w:tbl>
    <w:p w14:paraId="4D550E7B" w14:textId="318E9AEB" w:rsidR="00090E0F" w:rsidRDefault="00961EA2" w:rsidP="00D50168">
      <w:pPr>
        <w:spacing w:before="240"/>
        <w:rPr>
          <w:lang w:eastAsia="fi-FI"/>
        </w:rPr>
      </w:pPr>
      <w:r>
        <w:t>Parh</w:t>
      </w:r>
      <w:r w:rsidR="00A25726">
        <w:t>aan hinta-laatu</w:t>
      </w:r>
      <w:r w:rsidR="009C7B52">
        <w:t>suhteen</w:t>
      </w:r>
      <w:r w:rsidR="007C0D99">
        <w:t xml:space="preserve"> arvioimisessa käytettävät periaatteet on esitetty</w:t>
      </w:r>
      <w:r w:rsidR="00D05C26">
        <w:t xml:space="preserve"> tehtäväkohtaisesti</w:t>
      </w:r>
      <w:r w:rsidR="00A25726">
        <w:t xml:space="preserve"> </w:t>
      </w:r>
      <w:r>
        <w:t xml:space="preserve">liitteessä </w:t>
      </w:r>
      <w:r w:rsidR="00A51E4A">
        <w:t>3</w:t>
      </w:r>
      <w:r w:rsidR="00A25726">
        <w:t xml:space="preserve"> ”Arviointiperusteet”</w:t>
      </w:r>
      <w:r w:rsidR="007C0D99">
        <w:t>.</w:t>
      </w:r>
      <w:r w:rsidR="00D05C26">
        <w:t xml:space="preserve"> Arviointia varten toimitettavat asiakirjat on esitetty tehtäväkohtaisesti liitteessä 4 </w:t>
      </w:r>
      <w:r w:rsidR="00D05C26">
        <w:rPr>
          <w:lang w:eastAsia="fi-FI"/>
        </w:rPr>
        <w:t>”Luettelo tarjoukseen liitettävistä asiakirjoista ja soveltuvuusvaatimusten täyttymisen osoittamiseksi toimitettavista asiakirjoista”.</w:t>
      </w:r>
    </w:p>
    <w:p w14:paraId="41B49646" w14:textId="2F64DE27" w:rsidR="00A22E9F" w:rsidRPr="00D50168" w:rsidRDefault="00A22E9F" w:rsidP="00090E0F">
      <w:r w:rsidRPr="00D50168">
        <w:rPr>
          <w:lang w:eastAsia="fi-FI"/>
        </w:rPr>
        <w:t>Kuhunkin osatehtävään valitaan neljä (4) toimittajaa, joiden tarjoukset ovat menestyneet arvioinnissa parhaiten.</w:t>
      </w:r>
    </w:p>
    <w:p w14:paraId="53196F75" w14:textId="77777777" w:rsidR="00090E0F" w:rsidRDefault="00090E0F" w:rsidP="00090E0F">
      <w:pPr>
        <w:pStyle w:val="Otsikko2"/>
      </w:pPr>
      <w:r>
        <w:t>Tarjousten hylkääminen</w:t>
      </w:r>
    </w:p>
    <w:p w14:paraId="11D5AF21" w14:textId="77777777" w:rsidR="008666D1" w:rsidRDefault="008666D1" w:rsidP="0015272A">
      <w:r>
        <w:t>Tarjous voidaan sulkea pois tarjouskilpailusta</w:t>
      </w:r>
      <w:r w:rsidR="00AC79E0">
        <w:t>,</w:t>
      </w:r>
      <w:r>
        <w:t xml:space="preserve"> mikäli se ei ole tämän tarjouspyynnön mukainen. Hankintayksikkö on velvollinen hylkäämään tarjouksen tarjouspyynnön vastaisena jos tarjouksessa on sellainen virhe tai puute, joka estää tarjouksen tasapuolisen vertailun muiden tarjouspyynnön mukaisten tarjousten kanssa.</w:t>
      </w:r>
    </w:p>
    <w:p w14:paraId="4DAC2D60" w14:textId="77777777" w:rsidR="00090E0F" w:rsidRPr="00090E0F" w:rsidRDefault="00090E0F" w:rsidP="0015272A">
      <w:r w:rsidRPr="000F38E2">
        <w:t>Tarjouksen hylkääminen voi perustua myös suoraan lainsäädännöstä tai oikeuskäytännöstä ilmeneviin sellaisiin seikkoihin, joita ei ole erikseen esitetty tässä tarjouspyynnössä.</w:t>
      </w:r>
    </w:p>
    <w:p w14:paraId="6155920A" w14:textId="310B807E" w:rsidR="00C07C81" w:rsidRDefault="00C07C81" w:rsidP="00C07C81">
      <w:pPr>
        <w:pStyle w:val="Otsikko1"/>
      </w:pPr>
      <w:bookmarkStart w:id="6" w:name="_Toc469578712"/>
      <w:r>
        <w:t>Sopimus</w:t>
      </w:r>
      <w:r w:rsidR="00BB668E">
        <w:t>ehdot</w:t>
      </w:r>
      <w:bookmarkEnd w:id="6"/>
    </w:p>
    <w:p w14:paraId="214D201E" w14:textId="14EFC658" w:rsidR="00E32F3E" w:rsidRPr="00E32F3E" w:rsidRDefault="00E32F3E" w:rsidP="00E32F3E">
      <w:pPr>
        <w:rPr>
          <w:color w:val="538135" w:themeColor="accent6" w:themeShade="BF"/>
        </w:rPr>
      </w:pPr>
      <w:r w:rsidRPr="00E32F3E">
        <w:rPr>
          <w:color w:val="538135" w:themeColor="accent6" w:themeShade="BF"/>
        </w:rPr>
        <w:t xml:space="preserve">(Sopimusehtoihin liittyvät asiat on suositeltavaa esittää vain yhdessä asiakirjassa ristiriitojen välttämiseksi. Tässä esimerkissä joitain sopimusehtoja on esitetty esimerkinomaisesti </w:t>
      </w:r>
      <w:r w:rsidRPr="00E32F3E">
        <w:rPr>
          <w:color w:val="538135" w:themeColor="accent6" w:themeShade="BF"/>
        </w:rPr>
        <w:lastRenderedPageBreak/>
        <w:t>tarjouspyyntöön kirjattuina vaikka tarjouspyynnön liitteeksi on merkitty ”Konsulttisopimuksen luonnos”.)</w:t>
      </w:r>
    </w:p>
    <w:p w14:paraId="2AD0857E" w14:textId="77777777" w:rsidR="00BB668E" w:rsidRDefault="00BB668E" w:rsidP="00BB668E">
      <w:pPr>
        <w:pStyle w:val="Otsikko2"/>
      </w:pPr>
      <w:r>
        <w:t>Sopimus</w:t>
      </w:r>
    </w:p>
    <w:p w14:paraId="1C9DEFEB" w14:textId="12C92A35" w:rsidR="00BB668E" w:rsidRDefault="00BB668E" w:rsidP="00BB668E">
      <w:r>
        <w:t xml:space="preserve">Ennen sopimuksen allekirjoitusta pidetään </w:t>
      </w:r>
      <w:r w:rsidR="00CB494E" w:rsidRPr="00D50168">
        <w:t xml:space="preserve">valittujen toimittajien kanssa </w:t>
      </w:r>
      <w:r w:rsidRPr="00D50168">
        <w:t>sopimuskatselmus</w:t>
      </w:r>
      <w:r>
        <w:t xml:space="preserve">, jossa käydään läpi ja tarkennetaan </w:t>
      </w:r>
      <w:r w:rsidR="00176FA0">
        <w:t>puitesopimuksen</w:t>
      </w:r>
      <w:r w:rsidR="000D3D17">
        <w:t xml:space="preserve"> ehtoihin</w:t>
      </w:r>
      <w:r>
        <w:t xml:space="preserve"> liittyvät asiat.</w:t>
      </w:r>
    </w:p>
    <w:p w14:paraId="7209C63C" w14:textId="77777777" w:rsidR="00BB668E" w:rsidRDefault="00BB668E" w:rsidP="00BB668E">
      <w:r>
        <w:t>Toimeksiannon suorittamisesta laaditaan erillinen konsulttisopimus (</w:t>
      </w:r>
      <w:r w:rsidR="00C06048">
        <w:t xml:space="preserve">Liite </w:t>
      </w:r>
      <w:r w:rsidR="00A51E4A">
        <w:t>2</w:t>
      </w:r>
      <w:r>
        <w:t xml:space="preserve">) noudattaen Konsulttitoiminnan yleisiä sopimusehtoja KSE 2013 (RT 13–11143). Sopimukseen liitetään tämä tarjouspyyntö </w:t>
      </w:r>
      <w:r w:rsidR="00C06048">
        <w:t xml:space="preserve">liitteineen </w:t>
      </w:r>
      <w:r>
        <w:t>sekä tarjous liitteineen. Sopimuksentekovaiheessa sopimukseen</w:t>
      </w:r>
      <w:r w:rsidR="006F40EB">
        <w:t xml:space="preserve"> voidaan tehdä</w:t>
      </w:r>
      <w:r>
        <w:t xml:space="preserve"> vain sellaisia kirjauksia, jotka eivät muuta hankinnan kokonaistaloudellista edullisuutta. </w:t>
      </w:r>
    </w:p>
    <w:p w14:paraId="7C06F104" w14:textId="564FB528" w:rsidR="00C07C81" w:rsidRDefault="00E35CE3" w:rsidP="00C07C81">
      <w:r>
        <w:t>Puitejärjestelyssä</w:t>
      </w:r>
      <w:r w:rsidR="00C07C81">
        <w:t xml:space="preserve"> noudatetaan seuraavia sopimusasiakirjoja seuraavassa järjestyksessä Konsulttitoiminnan yleisten sopimusehtojen KSE</w:t>
      </w:r>
      <w:r w:rsidR="00BB668E">
        <w:t xml:space="preserve"> </w:t>
      </w:r>
      <w:r w:rsidR="00C07C81">
        <w:t>2013 kohdan 9.1 mukaisesti:</w:t>
      </w:r>
    </w:p>
    <w:p w14:paraId="31592528" w14:textId="77777777" w:rsidR="00CA4F8B" w:rsidRDefault="00CA4F8B" w:rsidP="00CA4F8B">
      <w:pPr>
        <w:pStyle w:val="Luettelokappale"/>
        <w:numPr>
          <w:ilvl w:val="0"/>
          <w:numId w:val="4"/>
        </w:numPr>
      </w:pPr>
      <w:r>
        <w:t>Konsulttisopimus</w:t>
      </w:r>
    </w:p>
    <w:p w14:paraId="43F34F5D" w14:textId="77777777" w:rsidR="00CA4F8B" w:rsidRPr="00B651D5" w:rsidRDefault="00CA4F8B" w:rsidP="00CA4F8B">
      <w:pPr>
        <w:pStyle w:val="Luettelokappale"/>
        <w:numPr>
          <w:ilvl w:val="1"/>
          <w:numId w:val="4"/>
        </w:numPr>
      </w:pPr>
      <w:r w:rsidRPr="00B651D5">
        <w:t>Sopimuskatselmuksen pöytäkirja</w:t>
      </w:r>
    </w:p>
    <w:p w14:paraId="683888D6" w14:textId="77777777" w:rsidR="00CA4F8B" w:rsidRDefault="00CA4F8B" w:rsidP="00CA4F8B">
      <w:pPr>
        <w:pStyle w:val="Luettelokappale"/>
        <w:numPr>
          <w:ilvl w:val="0"/>
          <w:numId w:val="4"/>
        </w:numPr>
      </w:pPr>
      <w:r>
        <w:t>Tarjouspyyntö liitteineen</w:t>
      </w:r>
    </w:p>
    <w:p w14:paraId="5BE662B7" w14:textId="77777777" w:rsidR="00CA4F8B" w:rsidRDefault="00CA4F8B" w:rsidP="00CA4F8B">
      <w:pPr>
        <w:pStyle w:val="Luettelokappale"/>
        <w:numPr>
          <w:ilvl w:val="0"/>
          <w:numId w:val="4"/>
        </w:numPr>
      </w:pPr>
      <w:r>
        <w:t>Konsulttitoiminnan yleiset sopimusehdot KSE 2013</w:t>
      </w:r>
    </w:p>
    <w:p w14:paraId="63DF28DB" w14:textId="5BA5A75C" w:rsidR="006D367D" w:rsidRDefault="00CA4F8B" w:rsidP="00445E2E">
      <w:pPr>
        <w:pStyle w:val="Luettelokappale"/>
        <w:numPr>
          <w:ilvl w:val="0"/>
          <w:numId w:val="4"/>
        </w:numPr>
      </w:pPr>
      <w:r>
        <w:t>Tarjous liitteineen</w:t>
      </w:r>
    </w:p>
    <w:p w14:paraId="7D124DCF" w14:textId="77777777" w:rsidR="006D367D" w:rsidRDefault="006D367D" w:rsidP="006D367D">
      <w:r>
        <w:t>Ennen sopimuksen tekemistä valitun toimittajan tulee osoittaa lainmukaisin todistuksin ja selvityksin, että se täyttää tilaajavastuulain mukaiset vaatimukset.</w:t>
      </w:r>
    </w:p>
    <w:p w14:paraId="521BBBC6" w14:textId="77777777" w:rsidR="00445E2E" w:rsidRDefault="00445E2E" w:rsidP="00445E2E">
      <w:r>
        <w:t>Sopimus syntyy vasta sopimuksen allekirjoittamisella.</w:t>
      </w:r>
    </w:p>
    <w:p w14:paraId="08C04E98" w14:textId="44E12F49" w:rsidR="00CB494E" w:rsidRPr="00D50168" w:rsidRDefault="00CB494E" w:rsidP="00CB494E">
      <w:pPr>
        <w:pStyle w:val="Otsikko3"/>
      </w:pPr>
      <w:r w:rsidRPr="00D50168">
        <w:t>Sopimuskausi ja optio-oikeus</w:t>
      </w:r>
    </w:p>
    <w:p w14:paraId="0DDFCB4E" w14:textId="2E512078" w:rsidR="00D50168" w:rsidRPr="00D50168" w:rsidRDefault="00D50168" w:rsidP="00D50168">
      <w:r w:rsidRPr="00D50168">
        <w:t xml:space="preserve">Puitesopimuskausi alkaa </w:t>
      </w:r>
      <w:r w:rsidR="00206D53">
        <w:t>pp.kk</w:t>
      </w:r>
      <w:r>
        <w:t xml:space="preserve">.2017 ja päättyy </w:t>
      </w:r>
      <w:r w:rsidR="00206D53">
        <w:t>pp</w:t>
      </w:r>
      <w:r>
        <w:t>.</w:t>
      </w:r>
      <w:r w:rsidR="00206D53">
        <w:t>kk</w:t>
      </w:r>
      <w:r>
        <w:t>.2018</w:t>
      </w:r>
      <w:r w:rsidR="00206D53">
        <w:t>(/19)</w:t>
      </w:r>
      <w:r>
        <w:t>. Puitesopimuskauden aikana tehdyt puitesopimukseen perustuvat hankintasopimukset voivat jatkua vielä puitesopimuskauden päättymisen jälkeen.</w:t>
      </w:r>
    </w:p>
    <w:p w14:paraId="389DCB14" w14:textId="438AF4E1" w:rsidR="00CB494E" w:rsidRPr="00282694" w:rsidRDefault="00D50168" w:rsidP="00CB494E">
      <w:r>
        <w:t xml:space="preserve">Sopimukseen liittyy kaksi optiovuotta (2019 ja 2020). Hankintayksikkö ilmoittaa optiovuosien käyttämisestä puitesopimukseen valituille toimittajille vuoden 2019 osalta viimeistään 30.9.2018 ja vuoden 2020 osalta viimeistään 30.9.2019. Mikäli optiovuodet otetaan käyttöön, sopimushintoja tarkistetaan tämän tarjouspyynnön </w:t>
      </w:r>
      <w:r w:rsidRPr="00A22E9F">
        <w:t xml:space="preserve">kohdassa </w:t>
      </w:r>
      <w:r>
        <w:t>7</w:t>
      </w:r>
      <w:r w:rsidRPr="00A22E9F">
        <w:t xml:space="preserve">.2.1 </w:t>
      </w:r>
      <w:r>
        <w:t>kuvatusti.</w:t>
      </w:r>
    </w:p>
    <w:p w14:paraId="43096EE1" w14:textId="77777777" w:rsidR="00112799" w:rsidRDefault="009C5D82" w:rsidP="002222D1">
      <w:pPr>
        <w:pStyle w:val="Otsikko2"/>
      </w:pPr>
      <w:r>
        <w:t>Veloitusperusteet</w:t>
      </w:r>
    </w:p>
    <w:p w14:paraId="5BEF8D0C" w14:textId="77777777" w:rsidR="002A0905" w:rsidRDefault="001C6603" w:rsidP="002A0905">
      <w:r>
        <w:t>Tarjouksessa tulee antaa aikapalkkiot ja niistä laskettavat veloitushinnat henkilöryhmittäin sekä esitettyjen henkilöiden veloitusluokat</w:t>
      </w:r>
      <w:r w:rsidR="004B18A2">
        <w:t xml:space="preserve"> SKOL-luokituksen mukaisesti</w:t>
      </w:r>
      <w:r w:rsidR="008F3DAC">
        <w:t xml:space="preserve">. </w:t>
      </w:r>
      <w:r w:rsidR="002A0905">
        <w:t xml:space="preserve">Veloitusperusteet ilmoitetaan KSE 2013 kohdassa 5.2.3 </w:t>
      </w:r>
      <w:r w:rsidR="002A0905" w:rsidRPr="00724713">
        <w:t xml:space="preserve">tarkoitettuna ”aikapalkkio henkilöryhmittäin” </w:t>
      </w:r>
      <w:r w:rsidR="002A0905">
        <w:t>ilman arvonlisäveroa.</w:t>
      </w:r>
    </w:p>
    <w:p w14:paraId="1002E100" w14:textId="77777777" w:rsidR="002222D1" w:rsidRDefault="002222D1" w:rsidP="002222D1">
      <w:r>
        <w:t>Tarjouksessa ilmoitetaan SKOL 01 ryhmän tuntiveloitushinta</w:t>
      </w:r>
      <w:r w:rsidR="00D95C24">
        <w:t>, jota käytetään tarjousten vertailuun</w:t>
      </w:r>
      <w:r>
        <w:t>. Muiden henkilöryhmien veloitushinnat määräytyvät seuraavasti:</w:t>
      </w:r>
    </w:p>
    <w:tbl>
      <w:tblPr>
        <w:tblStyle w:val="TaulukkoRuudukko"/>
        <w:tblW w:w="0" w:type="auto"/>
        <w:tblBorders>
          <w:left w:val="none" w:sz="0" w:space="0" w:color="auto"/>
          <w:right w:val="none" w:sz="0" w:space="0" w:color="auto"/>
        </w:tblBorders>
        <w:tblLook w:val="04A0" w:firstRow="1" w:lastRow="0" w:firstColumn="1" w:lastColumn="0" w:noHBand="0" w:noVBand="1"/>
      </w:tblPr>
      <w:tblGrid>
        <w:gridCol w:w="4086"/>
        <w:gridCol w:w="4134"/>
      </w:tblGrid>
      <w:tr w:rsidR="002222D1" w14:paraId="0ECBF477" w14:textId="77777777" w:rsidTr="00CA3236">
        <w:tc>
          <w:tcPr>
            <w:tcW w:w="4508" w:type="dxa"/>
            <w:tcBorders>
              <w:right w:val="nil"/>
            </w:tcBorders>
          </w:tcPr>
          <w:p w14:paraId="597E7618" w14:textId="77777777" w:rsidR="002222D1" w:rsidRDefault="002222D1" w:rsidP="0042762B">
            <w:pPr>
              <w:spacing w:before="240"/>
            </w:pPr>
            <w:r>
              <w:t>Ryhmän 02 veloitushinta</w:t>
            </w:r>
          </w:p>
        </w:tc>
        <w:tc>
          <w:tcPr>
            <w:tcW w:w="4508" w:type="dxa"/>
            <w:tcBorders>
              <w:left w:val="nil"/>
            </w:tcBorders>
          </w:tcPr>
          <w:p w14:paraId="6385604A" w14:textId="77777777" w:rsidR="002222D1" w:rsidRDefault="002222D1" w:rsidP="0042762B">
            <w:pPr>
              <w:spacing w:before="240"/>
            </w:pPr>
            <w:r>
              <w:t>0,85*annettu aikaveloitushinta ryhmä 01</w:t>
            </w:r>
          </w:p>
        </w:tc>
      </w:tr>
      <w:tr w:rsidR="002222D1" w14:paraId="34E547EF" w14:textId="77777777" w:rsidTr="00CA3236">
        <w:tc>
          <w:tcPr>
            <w:tcW w:w="4508" w:type="dxa"/>
            <w:tcBorders>
              <w:right w:val="nil"/>
            </w:tcBorders>
          </w:tcPr>
          <w:p w14:paraId="416E3D31" w14:textId="77777777" w:rsidR="002222D1" w:rsidRDefault="002222D1" w:rsidP="0042762B">
            <w:pPr>
              <w:spacing w:before="240"/>
            </w:pPr>
            <w:r>
              <w:lastRenderedPageBreak/>
              <w:t>Ryhmän 03 veloitushinta</w:t>
            </w:r>
          </w:p>
        </w:tc>
        <w:tc>
          <w:tcPr>
            <w:tcW w:w="4508" w:type="dxa"/>
            <w:tcBorders>
              <w:left w:val="nil"/>
            </w:tcBorders>
          </w:tcPr>
          <w:p w14:paraId="3D2E50F9" w14:textId="77777777" w:rsidR="002222D1" w:rsidRDefault="002222D1" w:rsidP="0042762B">
            <w:pPr>
              <w:spacing w:before="240"/>
            </w:pPr>
            <w:r>
              <w:t>0,85*laskettu aikaveloitushinta ryhmä 02</w:t>
            </w:r>
          </w:p>
        </w:tc>
      </w:tr>
      <w:tr w:rsidR="002222D1" w14:paraId="6917C3FC" w14:textId="77777777" w:rsidTr="00CA3236">
        <w:tc>
          <w:tcPr>
            <w:tcW w:w="4508" w:type="dxa"/>
            <w:tcBorders>
              <w:right w:val="nil"/>
            </w:tcBorders>
          </w:tcPr>
          <w:p w14:paraId="5B056FBE" w14:textId="77777777" w:rsidR="002222D1" w:rsidRDefault="002222D1" w:rsidP="0042762B">
            <w:pPr>
              <w:spacing w:before="240"/>
            </w:pPr>
            <w:r>
              <w:t>Ryhmän 04 veloitushinta</w:t>
            </w:r>
          </w:p>
        </w:tc>
        <w:tc>
          <w:tcPr>
            <w:tcW w:w="4508" w:type="dxa"/>
            <w:tcBorders>
              <w:left w:val="nil"/>
            </w:tcBorders>
          </w:tcPr>
          <w:p w14:paraId="7A9CB6A5" w14:textId="77777777" w:rsidR="002222D1" w:rsidRDefault="002222D1" w:rsidP="0042762B">
            <w:pPr>
              <w:spacing w:before="240"/>
            </w:pPr>
            <w:r>
              <w:t>0,85*laskettu aikaveloitushinta ryhmä 03</w:t>
            </w:r>
          </w:p>
        </w:tc>
      </w:tr>
      <w:tr w:rsidR="002222D1" w14:paraId="4C5CE98F" w14:textId="77777777" w:rsidTr="00CA3236">
        <w:tc>
          <w:tcPr>
            <w:tcW w:w="4508" w:type="dxa"/>
            <w:tcBorders>
              <w:right w:val="nil"/>
            </w:tcBorders>
          </w:tcPr>
          <w:p w14:paraId="4FC6980D" w14:textId="77777777" w:rsidR="002222D1" w:rsidRDefault="002222D1" w:rsidP="0042762B">
            <w:pPr>
              <w:spacing w:before="240"/>
            </w:pPr>
            <w:r>
              <w:t>Ryhmän 05 veloitushinta</w:t>
            </w:r>
          </w:p>
        </w:tc>
        <w:tc>
          <w:tcPr>
            <w:tcW w:w="4508" w:type="dxa"/>
            <w:tcBorders>
              <w:left w:val="nil"/>
            </w:tcBorders>
          </w:tcPr>
          <w:p w14:paraId="10C40E15" w14:textId="77777777" w:rsidR="002222D1" w:rsidRDefault="002222D1" w:rsidP="0042762B">
            <w:pPr>
              <w:spacing w:before="240"/>
            </w:pPr>
            <w:r>
              <w:t>0,85*laskettu aikaveloitushinta ryhmä 04</w:t>
            </w:r>
          </w:p>
        </w:tc>
      </w:tr>
      <w:tr w:rsidR="002222D1" w14:paraId="51FCD01F" w14:textId="77777777" w:rsidTr="00CA3236">
        <w:tc>
          <w:tcPr>
            <w:tcW w:w="4508" w:type="dxa"/>
            <w:tcBorders>
              <w:right w:val="nil"/>
            </w:tcBorders>
          </w:tcPr>
          <w:p w14:paraId="2378FA0D" w14:textId="77777777" w:rsidR="002222D1" w:rsidRDefault="002222D1" w:rsidP="0042762B">
            <w:pPr>
              <w:spacing w:before="240"/>
            </w:pPr>
            <w:r>
              <w:t>Ryhmän 06 veloitushinta</w:t>
            </w:r>
          </w:p>
        </w:tc>
        <w:tc>
          <w:tcPr>
            <w:tcW w:w="4508" w:type="dxa"/>
            <w:tcBorders>
              <w:left w:val="nil"/>
            </w:tcBorders>
          </w:tcPr>
          <w:p w14:paraId="731D9C29" w14:textId="77777777" w:rsidR="002222D1" w:rsidRDefault="002222D1" w:rsidP="0042762B">
            <w:pPr>
              <w:spacing w:before="240"/>
            </w:pPr>
            <w:r>
              <w:t>0,85*laskettu aikaveloitushinta ryhmä 05</w:t>
            </w:r>
          </w:p>
        </w:tc>
      </w:tr>
    </w:tbl>
    <w:p w14:paraId="40CD8DAA" w14:textId="102326F0" w:rsidR="003E77FE" w:rsidRDefault="003E77FE" w:rsidP="00206D53">
      <w:pPr>
        <w:spacing w:before="240"/>
        <w:rPr>
          <w:lang w:eastAsia="fi-FI"/>
        </w:rPr>
      </w:pPr>
      <w:r>
        <w:t>Konsultin tarjouksessaan antamat tuntiveloitushinnat ovat sitovia.</w:t>
      </w:r>
      <w:r w:rsidR="00A8382E">
        <w:t xml:space="preserve"> Tarjouksessa esitettyä ryhmän 01 </w:t>
      </w:r>
      <w:r w:rsidR="00CE6D40">
        <w:t>veloitushintaa</w:t>
      </w:r>
      <w:r w:rsidR="00A8382E">
        <w:t xml:space="preserve"> ja edellä esitetyn laskutavan mukaan laskettuja veloitushintoja ryhmissä 02-06 tulee käyttää sopimuksen mukaisissa hankinnoissa.</w:t>
      </w:r>
      <w:r w:rsidR="00F01AEF">
        <w:t xml:space="preserve"> </w:t>
      </w:r>
      <w:r w:rsidR="00724713">
        <w:rPr>
          <w:lang w:eastAsia="fi-FI"/>
        </w:rPr>
        <w:t>Puitesopimukseen perustuvissa toimeksiannoissa</w:t>
      </w:r>
      <w:r w:rsidR="00F01AEF">
        <w:rPr>
          <w:lang w:eastAsia="fi-FI"/>
        </w:rPr>
        <w:t xml:space="preserve"> henkilöiden tulee täyttää</w:t>
      </w:r>
      <w:r w:rsidR="008E1D39">
        <w:rPr>
          <w:lang w:eastAsia="fi-FI"/>
        </w:rPr>
        <w:t xml:space="preserve"> sen</w:t>
      </w:r>
      <w:r w:rsidR="00F01AEF">
        <w:rPr>
          <w:lang w:eastAsia="fi-FI"/>
        </w:rPr>
        <w:t xml:space="preserve"> SKOL ry:n henkilöryhmittelyn luokan vaatimukset</w:t>
      </w:r>
      <w:r w:rsidR="004615BB">
        <w:rPr>
          <w:lang w:eastAsia="fi-FI"/>
        </w:rPr>
        <w:t>,</w:t>
      </w:r>
      <w:r w:rsidR="00F01AEF">
        <w:rPr>
          <w:lang w:eastAsia="fi-FI"/>
        </w:rPr>
        <w:t xml:space="preserve"> johon heitä veloitusperusteluokkansa puolesta esitetään.</w:t>
      </w:r>
    </w:p>
    <w:p w14:paraId="28C09A63" w14:textId="77777777" w:rsidR="00F92456" w:rsidRDefault="00F92456" w:rsidP="00F92456">
      <w:pPr>
        <w:pStyle w:val="Otsikko3"/>
      </w:pPr>
      <w:r>
        <w:t xml:space="preserve">Veloitusperusteiden tarkistaminen </w:t>
      </w:r>
      <w:r w:rsidRPr="003D0034">
        <w:t>sopimuskaudella</w:t>
      </w:r>
    </w:p>
    <w:p w14:paraId="7FEF8374" w14:textId="77777777" w:rsidR="00D51F15" w:rsidRDefault="00F92456" w:rsidP="009C5D82">
      <w:pPr>
        <w:rPr>
          <w:color w:val="000000" w:themeColor="text1"/>
        </w:rPr>
      </w:pPr>
      <w:r>
        <w:rPr>
          <w:color w:val="000000" w:themeColor="text1"/>
        </w:rPr>
        <w:t xml:space="preserve">Tarjouksessa esitetyt veloitusperusteet ovat voimassa puitesopimuksen perusteella välillä pp.kk.2017-pp.kk.2018 tilatuissa toimeksiannoissa. </w:t>
      </w:r>
    </w:p>
    <w:p w14:paraId="229301E3" w14:textId="77777777" w:rsidR="00F92456" w:rsidRDefault="00F92456" w:rsidP="009C5D82">
      <w:pPr>
        <w:rPr>
          <w:color w:val="000000" w:themeColor="text1"/>
        </w:rPr>
      </w:pPr>
      <w:r>
        <w:rPr>
          <w:color w:val="000000" w:themeColor="text1"/>
        </w:rPr>
        <w:t>Mikäli optiovuosi 2019 ja 2020 otetaan käyttöön</w:t>
      </w:r>
      <w:r w:rsidR="00922593">
        <w:rPr>
          <w:color w:val="000000" w:themeColor="text1"/>
        </w:rPr>
        <w:t>,</w:t>
      </w:r>
      <w:r>
        <w:rPr>
          <w:color w:val="000000" w:themeColor="text1"/>
        </w:rPr>
        <w:t xml:space="preserve"> niin sopimushintoja tarkastetaan pp.kk.2019 ja pp.kk.2020 jälkeen tilatuissa toimeksiannoissa SKOL ry:n julkaiseman </w:t>
      </w:r>
      <w:r w:rsidR="009E0005">
        <w:rPr>
          <w:color w:val="000000" w:themeColor="text1"/>
        </w:rPr>
        <w:t>”</w:t>
      </w:r>
      <w:r>
        <w:rPr>
          <w:color w:val="000000" w:themeColor="text1"/>
        </w:rPr>
        <w:t>Suunnittelukustannusten seurannan</w:t>
      </w:r>
      <w:r w:rsidR="009E0005">
        <w:rPr>
          <w:color w:val="000000" w:themeColor="text1"/>
        </w:rPr>
        <w:t>”</w:t>
      </w:r>
      <w:r>
        <w:rPr>
          <w:color w:val="000000" w:themeColor="text1"/>
        </w:rPr>
        <w:t xml:space="preserve"> mukaisesti.</w:t>
      </w:r>
      <w:r w:rsidR="00E727EA">
        <w:rPr>
          <w:color w:val="000000" w:themeColor="text1"/>
        </w:rPr>
        <w:t xml:space="preserve"> Tällöin tarjouksessa annettu hinta vastaa 1/2017 indeksiä ja se tarkistetaan 1/2019 indeksillä pp.kk.2019 alkaen ja 1/2020 indeksillä 1/2020 alkaen.</w:t>
      </w:r>
    </w:p>
    <w:p w14:paraId="64840E2D" w14:textId="77777777" w:rsidR="00090E0F" w:rsidRDefault="00090E0F" w:rsidP="00090E0F">
      <w:pPr>
        <w:pStyle w:val="Otsikko1"/>
      </w:pPr>
      <w:bookmarkStart w:id="7" w:name="_Toc469578713"/>
      <w:r>
        <w:t>Lisätiedot</w:t>
      </w:r>
      <w:bookmarkEnd w:id="7"/>
    </w:p>
    <w:p w14:paraId="3920B65B" w14:textId="201AA2F1" w:rsidR="00090E0F" w:rsidRDefault="00090E0F" w:rsidP="00090E0F">
      <w:pPr>
        <w:rPr>
          <w:lang w:eastAsia="fi-FI"/>
        </w:rPr>
      </w:pPr>
      <w:r w:rsidRPr="00F16AE6">
        <w:rPr>
          <w:lang w:eastAsia="fi-FI"/>
        </w:rPr>
        <w:t xml:space="preserve">Hankintaa koskevat kysymykset tulee esittää hankintayksikön kilpailutusjärjestämässä. </w:t>
      </w:r>
      <w:r w:rsidR="00FB5967">
        <w:rPr>
          <w:lang w:eastAsia="fi-FI"/>
        </w:rPr>
        <w:t>Kysymykset tulee esittää pp.kk.vvvv klo hh:mm mennessä. Kaikkiin kysymyksiin tullaan vastaamaan pp.kk</w:t>
      </w:r>
      <w:r w:rsidR="00092483">
        <w:rPr>
          <w:lang w:eastAsia="fi-FI"/>
        </w:rPr>
        <w:t>.vvvv klo hh:mm mennessä.</w:t>
      </w:r>
      <w:r w:rsidR="00FB5967">
        <w:rPr>
          <w:lang w:eastAsia="fi-FI"/>
        </w:rPr>
        <w:t xml:space="preserve"> </w:t>
      </w:r>
      <w:r w:rsidR="00092483">
        <w:rPr>
          <w:lang w:eastAsia="fi-FI"/>
        </w:rPr>
        <w:t>K</w:t>
      </w:r>
      <w:r w:rsidR="00FB5967">
        <w:rPr>
          <w:lang w:eastAsia="fi-FI"/>
        </w:rPr>
        <w:t>ysymykset vastauksineen julkaistaan kilpailutus</w:t>
      </w:r>
      <w:r w:rsidR="00823369">
        <w:rPr>
          <w:lang w:eastAsia="fi-FI"/>
        </w:rPr>
        <w:t>järjestelmässä</w:t>
      </w:r>
      <w:r w:rsidR="00FB5967">
        <w:rPr>
          <w:lang w:eastAsia="fi-FI"/>
        </w:rPr>
        <w:t>.</w:t>
      </w:r>
      <w:r w:rsidRPr="00F16AE6">
        <w:rPr>
          <w:lang w:eastAsia="fi-FI"/>
        </w:rPr>
        <w:t xml:space="preserve"> </w:t>
      </w:r>
      <w:r>
        <w:rPr>
          <w:lang w:eastAsia="fi-FI"/>
        </w:rPr>
        <w:t>Hankintayksi</w:t>
      </w:r>
      <w:r w:rsidR="00F72BE9">
        <w:rPr>
          <w:lang w:eastAsia="fi-FI"/>
        </w:rPr>
        <w:t>k</w:t>
      </w:r>
      <w:r>
        <w:rPr>
          <w:lang w:eastAsia="fi-FI"/>
        </w:rPr>
        <w:t>kö julkaisee mahdolliset lisäkirjeet kilpailutusjärjestelmässä.</w:t>
      </w:r>
    </w:p>
    <w:p w14:paraId="37008B04" w14:textId="01862765" w:rsidR="00C305BF" w:rsidRDefault="008B516B" w:rsidP="00090E0F">
      <w:pPr>
        <w:rPr>
          <w:lang w:eastAsia="fi-FI"/>
        </w:rPr>
      </w:pPr>
      <w:r>
        <w:rPr>
          <w:lang w:eastAsia="fi-FI"/>
        </w:rPr>
        <w:t>Kilpailutusjärjestelmän</w:t>
      </w:r>
      <w:bookmarkStart w:id="8" w:name="_GoBack"/>
      <w:bookmarkEnd w:id="8"/>
      <w:r w:rsidR="00090E0F" w:rsidRPr="00F16AE6">
        <w:rPr>
          <w:lang w:eastAsia="fi-FI"/>
        </w:rPr>
        <w:t xml:space="preserve"> käyttöön liittyvissä kysymyksissä tulee olla yhteydessä </w:t>
      </w:r>
      <w:r w:rsidR="00FE6F79">
        <w:rPr>
          <w:lang w:eastAsia="fi-FI"/>
        </w:rPr>
        <w:t>kohdassa 2</w:t>
      </w:r>
      <w:r w:rsidR="00090E0F" w:rsidRPr="00F16AE6">
        <w:rPr>
          <w:lang w:eastAsia="fi-FI"/>
        </w:rPr>
        <w:t xml:space="preserve"> esitettyyn yhteyshenkilöön sähköpostitse.</w:t>
      </w:r>
    </w:p>
    <w:p w14:paraId="2AE1D6A5" w14:textId="77777777" w:rsidR="00C66439" w:rsidRDefault="00C66439" w:rsidP="00C66439"/>
    <w:p w14:paraId="34F448A4" w14:textId="77777777" w:rsidR="00C66439" w:rsidRDefault="00C66439" w:rsidP="00C66439"/>
    <w:p w14:paraId="1A93871C" w14:textId="77777777" w:rsidR="00C66439" w:rsidRDefault="00C66439" w:rsidP="00C66439">
      <w:pPr>
        <w:rPr>
          <w:u w:val="single"/>
        </w:rPr>
      </w:pPr>
      <w:r>
        <w:rPr>
          <w:u w:val="single"/>
        </w:rPr>
        <w:t>_________________________</w:t>
      </w:r>
    </w:p>
    <w:p w14:paraId="28B2F43F" w14:textId="77777777" w:rsidR="00C66439" w:rsidRDefault="00C66439" w:rsidP="00C66439">
      <w:pPr>
        <w:rPr>
          <w:u w:val="single"/>
        </w:rPr>
      </w:pPr>
    </w:p>
    <w:p w14:paraId="7450DBC4" w14:textId="77777777" w:rsidR="00C66439" w:rsidRPr="00C305BF" w:rsidRDefault="00C66439" w:rsidP="00C66439">
      <w:r>
        <w:t>Allekirjoitus ja nimenselvennys</w:t>
      </w:r>
    </w:p>
    <w:p w14:paraId="5D0BE7F6" w14:textId="3E12924F" w:rsidR="00C66439" w:rsidRPr="00090E0F" w:rsidRDefault="00C66439" w:rsidP="00090E0F">
      <w:r>
        <w:t>pp.kk.vvvv, Kuntala</w:t>
      </w:r>
    </w:p>
    <w:p w14:paraId="2CCEA8A7" w14:textId="77777777" w:rsidR="006A48FB" w:rsidRDefault="008A54A6" w:rsidP="008A54A6">
      <w:pPr>
        <w:pStyle w:val="Otsikko1"/>
      </w:pPr>
      <w:bookmarkStart w:id="9" w:name="_Toc469578714"/>
      <w:r>
        <w:t>Liitteet</w:t>
      </w:r>
      <w:bookmarkEnd w:id="9"/>
    </w:p>
    <w:p w14:paraId="0F28D1CF" w14:textId="62C1AD1E" w:rsidR="00D274C4" w:rsidRDefault="00F75609" w:rsidP="00D274C4">
      <w:pPr>
        <w:pStyle w:val="Luettelokappale"/>
        <w:numPr>
          <w:ilvl w:val="0"/>
          <w:numId w:val="6"/>
        </w:numPr>
        <w:spacing w:after="0"/>
        <w:rPr>
          <w:lang w:eastAsia="fi-FI"/>
        </w:rPr>
      </w:pPr>
      <w:r>
        <w:rPr>
          <w:lang w:eastAsia="fi-FI"/>
        </w:rPr>
        <w:t>Liite 1</w:t>
      </w:r>
      <w:r w:rsidR="00D274C4">
        <w:rPr>
          <w:lang w:eastAsia="fi-FI"/>
        </w:rPr>
        <w:t xml:space="preserve"> </w:t>
      </w:r>
      <w:r w:rsidR="00A31DAD">
        <w:t>”</w:t>
      </w:r>
      <w:r w:rsidR="00A31DAD" w:rsidRPr="008D1E74">
        <w:t>Hankittavalle suunnittelutyölle ja asiantuntijapalvelulle asetetut vaatimukset</w:t>
      </w:r>
      <w:r w:rsidR="00A31DAD">
        <w:t>”</w:t>
      </w:r>
    </w:p>
    <w:p w14:paraId="2C059C16" w14:textId="49F9A038" w:rsidR="00C06048" w:rsidRDefault="00F75609" w:rsidP="00D274C4">
      <w:pPr>
        <w:pStyle w:val="Luettelokappale"/>
        <w:numPr>
          <w:ilvl w:val="0"/>
          <w:numId w:val="6"/>
        </w:numPr>
        <w:spacing w:after="0"/>
        <w:rPr>
          <w:lang w:eastAsia="fi-FI"/>
        </w:rPr>
      </w:pPr>
      <w:r>
        <w:rPr>
          <w:lang w:eastAsia="fi-FI"/>
        </w:rPr>
        <w:lastRenderedPageBreak/>
        <w:t>Liite 2</w:t>
      </w:r>
      <w:r w:rsidR="00C06048">
        <w:rPr>
          <w:lang w:eastAsia="fi-FI"/>
        </w:rPr>
        <w:t xml:space="preserve"> ”Konsulttisopimuksen luonnos”</w:t>
      </w:r>
    </w:p>
    <w:p w14:paraId="6E41C012" w14:textId="0D72CFA8" w:rsidR="00961EA2" w:rsidRDefault="00F75609" w:rsidP="00D274C4">
      <w:pPr>
        <w:pStyle w:val="Luettelokappale"/>
        <w:numPr>
          <w:ilvl w:val="0"/>
          <w:numId w:val="6"/>
        </w:numPr>
        <w:spacing w:after="0"/>
        <w:rPr>
          <w:lang w:eastAsia="fi-FI"/>
        </w:rPr>
      </w:pPr>
      <w:r>
        <w:rPr>
          <w:lang w:eastAsia="fi-FI"/>
        </w:rPr>
        <w:t>Liite 3</w:t>
      </w:r>
      <w:r w:rsidR="00961EA2">
        <w:rPr>
          <w:lang w:eastAsia="fi-FI"/>
        </w:rPr>
        <w:t xml:space="preserve"> ”Arviointiperusteet”</w:t>
      </w:r>
    </w:p>
    <w:p w14:paraId="6B7268B3" w14:textId="3A2BC43F" w:rsidR="00245BC0" w:rsidRDefault="00F75609" w:rsidP="00D274C4">
      <w:pPr>
        <w:pStyle w:val="Luettelokappale"/>
        <w:numPr>
          <w:ilvl w:val="0"/>
          <w:numId w:val="6"/>
        </w:numPr>
        <w:spacing w:after="0"/>
        <w:rPr>
          <w:lang w:eastAsia="fi-FI"/>
        </w:rPr>
      </w:pPr>
      <w:r>
        <w:rPr>
          <w:lang w:eastAsia="fi-FI"/>
        </w:rPr>
        <w:t>Liite 4</w:t>
      </w:r>
      <w:r w:rsidR="00245BC0">
        <w:rPr>
          <w:lang w:eastAsia="fi-FI"/>
        </w:rPr>
        <w:t xml:space="preserve"> ”Luettelo t</w:t>
      </w:r>
      <w:r w:rsidR="007726F1">
        <w:rPr>
          <w:lang w:eastAsia="fi-FI"/>
        </w:rPr>
        <w:t xml:space="preserve">arjoukseen liitettävistä </w:t>
      </w:r>
      <w:r w:rsidR="00245BC0">
        <w:rPr>
          <w:lang w:eastAsia="fi-FI"/>
        </w:rPr>
        <w:t>asiakirjoista ja soveltuvuusvaatimusten täyttymisen osoittamiseksi toimitettavista asiakirjoista”</w:t>
      </w:r>
    </w:p>
    <w:p w14:paraId="710A5AB4" w14:textId="754635AE" w:rsidR="00AD2329" w:rsidRDefault="00AD2329" w:rsidP="00D274C4">
      <w:pPr>
        <w:pStyle w:val="Luettelokappale"/>
        <w:numPr>
          <w:ilvl w:val="0"/>
          <w:numId w:val="6"/>
        </w:numPr>
        <w:spacing w:after="0"/>
        <w:rPr>
          <w:lang w:eastAsia="fi-FI"/>
        </w:rPr>
      </w:pPr>
      <w:r>
        <w:rPr>
          <w:lang w:eastAsia="fi-FI"/>
        </w:rPr>
        <w:t>Liite 5 ”Yhteinen eurooppalainen hankinta-asiakirja” (hankintayksikön esitäyttämä)</w:t>
      </w:r>
    </w:p>
    <w:p w14:paraId="1F27861A" w14:textId="77777777" w:rsidR="00C305BF" w:rsidRPr="00C305BF" w:rsidRDefault="00C305BF" w:rsidP="00A16116">
      <w:pPr>
        <w:rPr>
          <w:u w:val="single"/>
        </w:rPr>
      </w:pPr>
    </w:p>
    <w:sectPr w:rsidR="00C305BF" w:rsidRPr="00C305BF" w:rsidSect="002F2982">
      <w:pgSz w:w="11906" w:h="16838"/>
      <w:pgMar w:top="1418"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4A995" w14:textId="77777777" w:rsidR="00497255" w:rsidRDefault="00497255" w:rsidP="00497255">
      <w:pPr>
        <w:spacing w:after="0" w:line="240" w:lineRule="auto"/>
      </w:pPr>
      <w:r>
        <w:separator/>
      </w:r>
    </w:p>
  </w:endnote>
  <w:endnote w:type="continuationSeparator" w:id="0">
    <w:p w14:paraId="25A92CEA" w14:textId="77777777" w:rsidR="00497255" w:rsidRDefault="00497255" w:rsidP="0049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2BFC0" w14:textId="77777777" w:rsidR="00497255" w:rsidRDefault="00497255" w:rsidP="00497255">
      <w:pPr>
        <w:spacing w:after="0" w:line="240" w:lineRule="auto"/>
      </w:pPr>
      <w:r>
        <w:separator/>
      </w:r>
    </w:p>
  </w:footnote>
  <w:footnote w:type="continuationSeparator" w:id="0">
    <w:p w14:paraId="150186F3" w14:textId="77777777" w:rsidR="00497255" w:rsidRDefault="00497255" w:rsidP="00497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5F6" w14:textId="2A313E1D" w:rsidR="00497255" w:rsidRDefault="00D90E5C" w:rsidP="00497255">
    <w:pPr>
      <w:pStyle w:val="Yltunniste"/>
    </w:pPr>
    <w:r>
      <w:t>RTS 16:60:TP:2.7</w:t>
    </w:r>
    <w:r w:rsidR="00497255">
      <w:tab/>
    </w:r>
    <w:r w:rsidR="00497255">
      <w:tab/>
    </w:r>
    <w:r w:rsidR="00497255">
      <w:fldChar w:fldCharType="begin"/>
    </w:r>
    <w:r w:rsidR="00497255">
      <w:instrText>PAGE   \* MERGEFORMAT</w:instrText>
    </w:r>
    <w:r w:rsidR="00497255">
      <w:fldChar w:fldCharType="separate"/>
    </w:r>
    <w:r w:rsidR="008B516B">
      <w:rPr>
        <w:noProof/>
      </w:rPr>
      <w:t>10</w:t>
    </w:r>
    <w:r w:rsidR="00497255">
      <w:fldChar w:fldCharType="end"/>
    </w:r>
  </w:p>
  <w:p w14:paraId="6B8B476C" w14:textId="77777777" w:rsidR="00497255" w:rsidRDefault="0049725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653"/>
    <w:multiLevelType w:val="hybridMultilevel"/>
    <w:tmpl w:val="A75C0696"/>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1" w15:restartNumberingAfterBreak="0">
    <w:nsid w:val="04D87536"/>
    <w:multiLevelType w:val="hybridMultilevel"/>
    <w:tmpl w:val="D84C784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5566331"/>
    <w:multiLevelType w:val="hybridMultilevel"/>
    <w:tmpl w:val="3418EA6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6686ECA"/>
    <w:multiLevelType w:val="hybridMultilevel"/>
    <w:tmpl w:val="08F269B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E3A78CD"/>
    <w:multiLevelType w:val="hybridMultilevel"/>
    <w:tmpl w:val="444C7618"/>
    <w:lvl w:ilvl="0" w:tplc="040B0011">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4604BD"/>
    <w:multiLevelType w:val="hybridMultilevel"/>
    <w:tmpl w:val="048258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63366B6"/>
    <w:multiLevelType w:val="multilevel"/>
    <w:tmpl w:val="7C484DD8"/>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7" w15:restartNumberingAfterBreak="0">
    <w:nsid w:val="17F70508"/>
    <w:multiLevelType w:val="hybridMultilevel"/>
    <w:tmpl w:val="1E2620F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6E7097"/>
    <w:multiLevelType w:val="hybridMultilevel"/>
    <w:tmpl w:val="559C9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C3119B2"/>
    <w:multiLevelType w:val="hybridMultilevel"/>
    <w:tmpl w:val="04A80D2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1333CBD"/>
    <w:multiLevelType w:val="hybridMultilevel"/>
    <w:tmpl w:val="BFFEF3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2A767D5"/>
    <w:multiLevelType w:val="hybridMultilevel"/>
    <w:tmpl w:val="50EA92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0343F0"/>
    <w:multiLevelType w:val="hybridMultilevel"/>
    <w:tmpl w:val="0BCCD2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9651543"/>
    <w:multiLevelType w:val="hybridMultilevel"/>
    <w:tmpl w:val="DBA02F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DE37AFF"/>
    <w:multiLevelType w:val="hybridMultilevel"/>
    <w:tmpl w:val="9594B4C0"/>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82508A0"/>
    <w:multiLevelType w:val="hybridMultilevel"/>
    <w:tmpl w:val="41EC76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223519C"/>
    <w:multiLevelType w:val="hybridMultilevel"/>
    <w:tmpl w:val="589008F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26E5412"/>
    <w:multiLevelType w:val="hybridMultilevel"/>
    <w:tmpl w:val="ECC6FF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1B74959"/>
    <w:multiLevelType w:val="hybridMultilevel"/>
    <w:tmpl w:val="3A620F76"/>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568659B"/>
    <w:multiLevelType w:val="hybridMultilevel"/>
    <w:tmpl w:val="8E48D7F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97269B5"/>
    <w:multiLevelType w:val="hybridMultilevel"/>
    <w:tmpl w:val="46DA96D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9E7607D"/>
    <w:multiLevelType w:val="hybridMultilevel"/>
    <w:tmpl w:val="AD947552"/>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A282815"/>
    <w:multiLevelType w:val="hybridMultilevel"/>
    <w:tmpl w:val="BB66DD8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AB713B0"/>
    <w:multiLevelType w:val="hybridMultilevel"/>
    <w:tmpl w:val="091029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F0C4995"/>
    <w:multiLevelType w:val="hybridMultilevel"/>
    <w:tmpl w:val="2DCAFB38"/>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24"/>
  </w:num>
  <w:num w:numId="5">
    <w:abstractNumId w:val="17"/>
  </w:num>
  <w:num w:numId="6">
    <w:abstractNumId w:val="23"/>
  </w:num>
  <w:num w:numId="7">
    <w:abstractNumId w:val="22"/>
  </w:num>
  <w:num w:numId="8">
    <w:abstractNumId w:val="9"/>
  </w:num>
  <w:num w:numId="9">
    <w:abstractNumId w:val="8"/>
  </w:num>
  <w:num w:numId="10">
    <w:abstractNumId w:val="15"/>
  </w:num>
  <w:num w:numId="11">
    <w:abstractNumId w:val="12"/>
  </w:num>
  <w:num w:numId="12">
    <w:abstractNumId w:val="14"/>
  </w:num>
  <w:num w:numId="13">
    <w:abstractNumId w:val="21"/>
  </w:num>
  <w:num w:numId="14">
    <w:abstractNumId w:val="18"/>
  </w:num>
  <w:num w:numId="15">
    <w:abstractNumId w:val="0"/>
  </w:num>
  <w:num w:numId="16">
    <w:abstractNumId w:val="5"/>
  </w:num>
  <w:num w:numId="17">
    <w:abstractNumId w:val="4"/>
  </w:num>
  <w:num w:numId="18">
    <w:abstractNumId w:val="20"/>
  </w:num>
  <w:num w:numId="19">
    <w:abstractNumId w:val="19"/>
  </w:num>
  <w:num w:numId="20">
    <w:abstractNumId w:val="11"/>
  </w:num>
  <w:num w:numId="21">
    <w:abstractNumId w:val="13"/>
  </w:num>
  <w:num w:numId="22">
    <w:abstractNumId w:val="10"/>
  </w:num>
  <w:num w:numId="23">
    <w:abstractNumId w:val="16"/>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C1"/>
    <w:rsid w:val="000018CD"/>
    <w:rsid w:val="00002ACD"/>
    <w:rsid w:val="0000360D"/>
    <w:rsid w:val="000108A3"/>
    <w:rsid w:val="000150D1"/>
    <w:rsid w:val="0001743C"/>
    <w:rsid w:val="00025CF5"/>
    <w:rsid w:val="00026ABA"/>
    <w:rsid w:val="00032BA2"/>
    <w:rsid w:val="0003756A"/>
    <w:rsid w:val="00080C24"/>
    <w:rsid w:val="000822A2"/>
    <w:rsid w:val="000853E8"/>
    <w:rsid w:val="00085F08"/>
    <w:rsid w:val="00090E0F"/>
    <w:rsid w:val="00092483"/>
    <w:rsid w:val="000A61D3"/>
    <w:rsid w:val="000B0EF2"/>
    <w:rsid w:val="000B361A"/>
    <w:rsid w:val="000B6909"/>
    <w:rsid w:val="000B7EC4"/>
    <w:rsid w:val="000C1C11"/>
    <w:rsid w:val="000C41C2"/>
    <w:rsid w:val="000D0294"/>
    <w:rsid w:val="000D07D9"/>
    <w:rsid w:val="000D23C9"/>
    <w:rsid w:val="000D271B"/>
    <w:rsid w:val="000D3D17"/>
    <w:rsid w:val="000E474D"/>
    <w:rsid w:val="000F04AA"/>
    <w:rsid w:val="000F0975"/>
    <w:rsid w:val="000F0AC7"/>
    <w:rsid w:val="000F793D"/>
    <w:rsid w:val="001044D5"/>
    <w:rsid w:val="00112799"/>
    <w:rsid w:val="001139B7"/>
    <w:rsid w:val="00114EFB"/>
    <w:rsid w:val="001215C8"/>
    <w:rsid w:val="00122ABA"/>
    <w:rsid w:val="001234CA"/>
    <w:rsid w:val="00124F5C"/>
    <w:rsid w:val="00131B01"/>
    <w:rsid w:val="00135792"/>
    <w:rsid w:val="00140537"/>
    <w:rsid w:val="0015272A"/>
    <w:rsid w:val="00154932"/>
    <w:rsid w:val="00163D6D"/>
    <w:rsid w:val="0016614A"/>
    <w:rsid w:val="00176FA0"/>
    <w:rsid w:val="001828FC"/>
    <w:rsid w:val="00183203"/>
    <w:rsid w:val="001843D3"/>
    <w:rsid w:val="001863A2"/>
    <w:rsid w:val="00193A6D"/>
    <w:rsid w:val="001943A0"/>
    <w:rsid w:val="001955D1"/>
    <w:rsid w:val="001A1429"/>
    <w:rsid w:val="001C0951"/>
    <w:rsid w:val="001C6603"/>
    <w:rsid w:val="001D0297"/>
    <w:rsid w:val="001D1EC1"/>
    <w:rsid w:val="001E0776"/>
    <w:rsid w:val="001F0CAD"/>
    <w:rsid w:val="001F1E55"/>
    <w:rsid w:val="001F6D8C"/>
    <w:rsid w:val="00200EF4"/>
    <w:rsid w:val="002049D1"/>
    <w:rsid w:val="00206D53"/>
    <w:rsid w:val="00211550"/>
    <w:rsid w:val="00215380"/>
    <w:rsid w:val="002222D1"/>
    <w:rsid w:val="00222ED9"/>
    <w:rsid w:val="0022300E"/>
    <w:rsid w:val="00227CAB"/>
    <w:rsid w:val="002318AD"/>
    <w:rsid w:val="00233AEE"/>
    <w:rsid w:val="002347F2"/>
    <w:rsid w:val="002411DB"/>
    <w:rsid w:val="002426DB"/>
    <w:rsid w:val="00245BC0"/>
    <w:rsid w:val="00255BAA"/>
    <w:rsid w:val="00260C8F"/>
    <w:rsid w:val="00261BB8"/>
    <w:rsid w:val="002706D7"/>
    <w:rsid w:val="00281019"/>
    <w:rsid w:val="00281254"/>
    <w:rsid w:val="00282694"/>
    <w:rsid w:val="00284373"/>
    <w:rsid w:val="00284BF2"/>
    <w:rsid w:val="00287B7C"/>
    <w:rsid w:val="0029052F"/>
    <w:rsid w:val="0029077F"/>
    <w:rsid w:val="00295C57"/>
    <w:rsid w:val="002964F3"/>
    <w:rsid w:val="002A0905"/>
    <w:rsid w:val="002B44D9"/>
    <w:rsid w:val="002B703A"/>
    <w:rsid w:val="002C08E7"/>
    <w:rsid w:val="002C35D9"/>
    <w:rsid w:val="002C3A99"/>
    <w:rsid w:val="002C7795"/>
    <w:rsid w:val="002D1538"/>
    <w:rsid w:val="002D51C0"/>
    <w:rsid w:val="002D6C3D"/>
    <w:rsid w:val="002E7872"/>
    <w:rsid w:val="002F19D7"/>
    <w:rsid w:val="002F2982"/>
    <w:rsid w:val="002F392F"/>
    <w:rsid w:val="002F6AC0"/>
    <w:rsid w:val="003018D7"/>
    <w:rsid w:val="003025A3"/>
    <w:rsid w:val="00303623"/>
    <w:rsid w:val="003056B4"/>
    <w:rsid w:val="00307FEF"/>
    <w:rsid w:val="00315051"/>
    <w:rsid w:val="00315BEF"/>
    <w:rsid w:val="0031725C"/>
    <w:rsid w:val="003225BA"/>
    <w:rsid w:val="003239C3"/>
    <w:rsid w:val="003258F6"/>
    <w:rsid w:val="00330458"/>
    <w:rsid w:val="003309B6"/>
    <w:rsid w:val="00331609"/>
    <w:rsid w:val="00340FDB"/>
    <w:rsid w:val="00342CAD"/>
    <w:rsid w:val="0034329D"/>
    <w:rsid w:val="00345BBA"/>
    <w:rsid w:val="00345C27"/>
    <w:rsid w:val="00347DF9"/>
    <w:rsid w:val="00352317"/>
    <w:rsid w:val="003569C4"/>
    <w:rsid w:val="00361E51"/>
    <w:rsid w:val="0036581B"/>
    <w:rsid w:val="003767D9"/>
    <w:rsid w:val="003827BF"/>
    <w:rsid w:val="00385E48"/>
    <w:rsid w:val="00391033"/>
    <w:rsid w:val="003911E7"/>
    <w:rsid w:val="00397D7D"/>
    <w:rsid w:val="003A09AA"/>
    <w:rsid w:val="003A367E"/>
    <w:rsid w:val="003A4048"/>
    <w:rsid w:val="003A41E4"/>
    <w:rsid w:val="003A420C"/>
    <w:rsid w:val="003C0CAB"/>
    <w:rsid w:val="003C1CFE"/>
    <w:rsid w:val="003C2DC1"/>
    <w:rsid w:val="003C5CA6"/>
    <w:rsid w:val="003D0034"/>
    <w:rsid w:val="003D1ED0"/>
    <w:rsid w:val="003D20A2"/>
    <w:rsid w:val="003D72DF"/>
    <w:rsid w:val="003E59EB"/>
    <w:rsid w:val="003E77FE"/>
    <w:rsid w:val="003F14DD"/>
    <w:rsid w:val="0040279F"/>
    <w:rsid w:val="0041420C"/>
    <w:rsid w:val="00417AAB"/>
    <w:rsid w:val="004207CF"/>
    <w:rsid w:val="0042295D"/>
    <w:rsid w:val="0042739D"/>
    <w:rsid w:val="0042762B"/>
    <w:rsid w:val="004342EB"/>
    <w:rsid w:val="00437433"/>
    <w:rsid w:val="00441C2F"/>
    <w:rsid w:val="00443E8F"/>
    <w:rsid w:val="00444927"/>
    <w:rsid w:val="00445E2E"/>
    <w:rsid w:val="00446BA5"/>
    <w:rsid w:val="0045043B"/>
    <w:rsid w:val="00452F0C"/>
    <w:rsid w:val="004615BB"/>
    <w:rsid w:val="00462AB9"/>
    <w:rsid w:val="004630B2"/>
    <w:rsid w:val="004637EB"/>
    <w:rsid w:val="00463A8B"/>
    <w:rsid w:val="004659B2"/>
    <w:rsid w:val="004659D6"/>
    <w:rsid w:val="00467057"/>
    <w:rsid w:val="00467483"/>
    <w:rsid w:val="004809FC"/>
    <w:rsid w:val="00486B96"/>
    <w:rsid w:val="0049469E"/>
    <w:rsid w:val="00495CC9"/>
    <w:rsid w:val="00497255"/>
    <w:rsid w:val="004A501F"/>
    <w:rsid w:val="004A6A57"/>
    <w:rsid w:val="004B18A2"/>
    <w:rsid w:val="004B5910"/>
    <w:rsid w:val="004C011A"/>
    <w:rsid w:val="004C478C"/>
    <w:rsid w:val="004D2595"/>
    <w:rsid w:val="004D28A0"/>
    <w:rsid w:val="004D47FB"/>
    <w:rsid w:val="004E1CD2"/>
    <w:rsid w:val="004F13F5"/>
    <w:rsid w:val="004F71A2"/>
    <w:rsid w:val="00500A0F"/>
    <w:rsid w:val="00500CDF"/>
    <w:rsid w:val="00514B71"/>
    <w:rsid w:val="00515EA0"/>
    <w:rsid w:val="00531686"/>
    <w:rsid w:val="005335A1"/>
    <w:rsid w:val="00535F4E"/>
    <w:rsid w:val="005372D7"/>
    <w:rsid w:val="005426AC"/>
    <w:rsid w:val="00544252"/>
    <w:rsid w:val="005524C1"/>
    <w:rsid w:val="005534F4"/>
    <w:rsid w:val="00561E7F"/>
    <w:rsid w:val="00562735"/>
    <w:rsid w:val="00570557"/>
    <w:rsid w:val="00571E3D"/>
    <w:rsid w:val="0057416D"/>
    <w:rsid w:val="00575EDC"/>
    <w:rsid w:val="005971BF"/>
    <w:rsid w:val="005A045C"/>
    <w:rsid w:val="005A2728"/>
    <w:rsid w:val="005C03E8"/>
    <w:rsid w:val="005C245A"/>
    <w:rsid w:val="005C3591"/>
    <w:rsid w:val="005C3E23"/>
    <w:rsid w:val="005D17E3"/>
    <w:rsid w:val="005D334D"/>
    <w:rsid w:val="005D3A75"/>
    <w:rsid w:val="005E216C"/>
    <w:rsid w:val="005E33A7"/>
    <w:rsid w:val="005E5FB1"/>
    <w:rsid w:val="005F0F10"/>
    <w:rsid w:val="0060280A"/>
    <w:rsid w:val="00602861"/>
    <w:rsid w:val="00607C1F"/>
    <w:rsid w:val="00620937"/>
    <w:rsid w:val="00621C2F"/>
    <w:rsid w:val="0062382F"/>
    <w:rsid w:val="006250E0"/>
    <w:rsid w:val="0063042B"/>
    <w:rsid w:val="00634386"/>
    <w:rsid w:val="00634E53"/>
    <w:rsid w:val="0065123F"/>
    <w:rsid w:val="0065174E"/>
    <w:rsid w:val="00652468"/>
    <w:rsid w:val="0065412C"/>
    <w:rsid w:val="00661050"/>
    <w:rsid w:val="0066167B"/>
    <w:rsid w:val="00661AF9"/>
    <w:rsid w:val="00666D85"/>
    <w:rsid w:val="00670767"/>
    <w:rsid w:val="006730FA"/>
    <w:rsid w:val="0067765C"/>
    <w:rsid w:val="00686DD1"/>
    <w:rsid w:val="00690C07"/>
    <w:rsid w:val="00692CC0"/>
    <w:rsid w:val="00693279"/>
    <w:rsid w:val="00694258"/>
    <w:rsid w:val="006A12E8"/>
    <w:rsid w:val="006A48FB"/>
    <w:rsid w:val="006A50A4"/>
    <w:rsid w:val="006B4E3F"/>
    <w:rsid w:val="006B6B33"/>
    <w:rsid w:val="006C3711"/>
    <w:rsid w:val="006C7610"/>
    <w:rsid w:val="006D028B"/>
    <w:rsid w:val="006D0AC2"/>
    <w:rsid w:val="006D1BAF"/>
    <w:rsid w:val="006D367D"/>
    <w:rsid w:val="006D4D00"/>
    <w:rsid w:val="006E3428"/>
    <w:rsid w:val="006E6AF6"/>
    <w:rsid w:val="006F40EB"/>
    <w:rsid w:val="006F7E87"/>
    <w:rsid w:val="00702AEF"/>
    <w:rsid w:val="00703F1D"/>
    <w:rsid w:val="00720E07"/>
    <w:rsid w:val="00722B62"/>
    <w:rsid w:val="00724713"/>
    <w:rsid w:val="00724FC4"/>
    <w:rsid w:val="0073103C"/>
    <w:rsid w:val="007318B8"/>
    <w:rsid w:val="00743B1D"/>
    <w:rsid w:val="00744349"/>
    <w:rsid w:val="00744E0F"/>
    <w:rsid w:val="0075043D"/>
    <w:rsid w:val="0075076A"/>
    <w:rsid w:val="00750E67"/>
    <w:rsid w:val="007536D0"/>
    <w:rsid w:val="00765EA0"/>
    <w:rsid w:val="00766734"/>
    <w:rsid w:val="00767273"/>
    <w:rsid w:val="007726F1"/>
    <w:rsid w:val="00775AEE"/>
    <w:rsid w:val="00775E4F"/>
    <w:rsid w:val="0078243C"/>
    <w:rsid w:val="00782752"/>
    <w:rsid w:val="007939B0"/>
    <w:rsid w:val="00797C39"/>
    <w:rsid w:val="007A45BF"/>
    <w:rsid w:val="007A6FE8"/>
    <w:rsid w:val="007B0AA3"/>
    <w:rsid w:val="007B2ADC"/>
    <w:rsid w:val="007B6482"/>
    <w:rsid w:val="007B7010"/>
    <w:rsid w:val="007C0D99"/>
    <w:rsid w:val="007C3DE5"/>
    <w:rsid w:val="007D3968"/>
    <w:rsid w:val="007D5787"/>
    <w:rsid w:val="007D724F"/>
    <w:rsid w:val="007E0A05"/>
    <w:rsid w:val="007E3B95"/>
    <w:rsid w:val="007E6F33"/>
    <w:rsid w:val="007F0925"/>
    <w:rsid w:val="007F2648"/>
    <w:rsid w:val="00801781"/>
    <w:rsid w:val="00810843"/>
    <w:rsid w:val="00813C9F"/>
    <w:rsid w:val="00814207"/>
    <w:rsid w:val="00816337"/>
    <w:rsid w:val="0081682B"/>
    <w:rsid w:val="00821651"/>
    <w:rsid w:val="00822223"/>
    <w:rsid w:val="00823369"/>
    <w:rsid w:val="00826768"/>
    <w:rsid w:val="0083008F"/>
    <w:rsid w:val="00833BFC"/>
    <w:rsid w:val="00834840"/>
    <w:rsid w:val="00834BC5"/>
    <w:rsid w:val="0083535E"/>
    <w:rsid w:val="00836088"/>
    <w:rsid w:val="00846DE9"/>
    <w:rsid w:val="008529C4"/>
    <w:rsid w:val="00856241"/>
    <w:rsid w:val="008633BD"/>
    <w:rsid w:val="008641B1"/>
    <w:rsid w:val="0086655E"/>
    <w:rsid w:val="008666D1"/>
    <w:rsid w:val="008668A1"/>
    <w:rsid w:val="00870A18"/>
    <w:rsid w:val="008718B8"/>
    <w:rsid w:val="0087409D"/>
    <w:rsid w:val="008771A0"/>
    <w:rsid w:val="00877FC4"/>
    <w:rsid w:val="008927D2"/>
    <w:rsid w:val="008933F4"/>
    <w:rsid w:val="008936C0"/>
    <w:rsid w:val="00894375"/>
    <w:rsid w:val="00894654"/>
    <w:rsid w:val="00894672"/>
    <w:rsid w:val="00894B4E"/>
    <w:rsid w:val="008A01B4"/>
    <w:rsid w:val="008A3C8C"/>
    <w:rsid w:val="008A54A6"/>
    <w:rsid w:val="008B516B"/>
    <w:rsid w:val="008C7F83"/>
    <w:rsid w:val="008D0CCD"/>
    <w:rsid w:val="008D1E74"/>
    <w:rsid w:val="008D2A5E"/>
    <w:rsid w:val="008E083D"/>
    <w:rsid w:val="008E1D39"/>
    <w:rsid w:val="008E3420"/>
    <w:rsid w:val="008F3DAC"/>
    <w:rsid w:val="00900A72"/>
    <w:rsid w:val="009010BC"/>
    <w:rsid w:val="0090322F"/>
    <w:rsid w:val="009212DF"/>
    <w:rsid w:val="0092184A"/>
    <w:rsid w:val="00922593"/>
    <w:rsid w:val="00922DC2"/>
    <w:rsid w:val="00926571"/>
    <w:rsid w:val="00927D0F"/>
    <w:rsid w:val="00930CF4"/>
    <w:rsid w:val="0093252E"/>
    <w:rsid w:val="009479B0"/>
    <w:rsid w:val="0095378D"/>
    <w:rsid w:val="00961EA2"/>
    <w:rsid w:val="009620C8"/>
    <w:rsid w:val="00962B18"/>
    <w:rsid w:val="009630CE"/>
    <w:rsid w:val="009647CF"/>
    <w:rsid w:val="0096697D"/>
    <w:rsid w:val="00966D14"/>
    <w:rsid w:val="0097300D"/>
    <w:rsid w:val="00982A6F"/>
    <w:rsid w:val="00986DFF"/>
    <w:rsid w:val="00987F96"/>
    <w:rsid w:val="009960FB"/>
    <w:rsid w:val="009B0013"/>
    <w:rsid w:val="009B2C02"/>
    <w:rsid w:val="009C5D82"/>
    <w:rsid w:val="009C7B52"/>
    <w:rsid w:val="009D2FCD"/>
    <w:rsid w:val="009D3079"/>
    <w:rsid w:val="009D3C07"/>
    <w:rsid w:val="009D69A1"/>
    <w:rsid w:val="009D6C82"/>
    <w:rsid w:val="009E0005"/>
    <w:rsid w:val="009E3E94"/>
    <w:rsid w:val="009F34EB"/>
    <w:rsid w:val="009F6B3F"/>
    <w:rsid w:val="00A029E9"/>
    <w:rsid w:val="00A06635"/>
    <w:rsid w:val="00A11C23"/>
    <w:rsid w:val="00A1276F"/>
    <w:rsid w:val="00A137E1"/>
    <w:rsid w:val="00A16116"/>
    <w:rsid w:val="00A22E9F"/>
    <w:rsid w:val="00A245CC"/>
    <w:rsid w:val="00A25726"/>
    <w:rsid w:val="00A31DAD"/>
    <w:rsid w:val="00A328F5"/>
    <w:rsid w:val="00A37276"/>
    <w:rsid w:val="00A42F85"/>
    <w:rsid w:val="00A462A4"/>
    <w:rsid w:val="00A51139"/>
    <w:rsid w:val="00A51E4A"/>
    <w:rsid w:val="00A54096"/>
    <w:rsid w:val="00A61088"/>
    <w:rsid w:val="00A71ED8"/>
    <w:rsid w:val="00A72628"/>
    <w:rsid w:val="00A74637"/>
    <w:rsid w:val="00A75D37"/>
    <w:rsid w:val="00A8382E"/>
    <w:rsid w:val="00A83FCF"/>
    <w:rsid w:val="00A8486C"/>
    <w:rsid w:val="00A85F03"/>
    <w:rsid w:val="00A90D4F"/>
    <w:rsid w:val="00A92268"/>
    <w:rsid w:val="00A97034"/>
    <w:rsid w:val="00AA1942"/>
    <w:rsid w:val="00AA311A"/>
    <w:rsid w:val="00AA4656"/>
    <w:rsid w:val="00AA53AF"/>
    <w:rsid w:val="00AA7247"/>
    <w:rsid w:val="00AA7462"/>
    <w:rsid w:val="00AB4848"/>
    <w:rsid w:val="00AB53F8"/>
    <w:rsid w:val="00AB55EB"/>
    <w:rsid w:val="00AB7289"/>
    <w:rsid w:val="00AC31D6"/>
    <w:rsid w:val="00AC55A9"/>
    <w:rsid w:val="00AC79E0"/>
    <w:rsid w:val="00AD0CD0"/>
    <w:rsid w:val="00AD2329"/>
    <w:rsid w:val="00AE132A"/>
    <w:rsid w:val="00AF3382"/>
    <w:rsid w:val="00AF42B0"/>
    <w:rsid w:val="00AF7342"/>
    <w:rsid w:val="00AF74D3"/>
    <w:rsid w:val="00B12278"/>
    <w:rsid w:val="00B14044"/>
    <w:rsid w:val="00B22008"/>
    <w:rsid w:val="00B232A6"/>
    <w:rsid w:val="00B23CE9"/>
    <w:rsid w:val="00B243BD"/>
    <w:rsid w:val="00B37E32"/>
    <w:rsid w:val="00B52519"/>
    <w:rsid w:val="00B61986"/>
    <w:rsid w:val="00B631A0"/>
    <w:rsid w:val="00B65514"/>
    <w:rsid w:val="00B65EC2"/>
    <w:rsid w:val="00B7208B"/>
    <w:rsid w:val="00B7419C"/>
    <w:rsid w:val="00B80BF4"/>
    <w:rsid w:val="00B902EA"/>
    <w:rsid w:val="00B92A7F"/>
    <w:rsid w:val="00B9457E"/>
    <w:rsid w:val="00BA29A4"/>
    <w:rsid w:val="00BA48E3"/>
    <w:rsid w:val="00BA7AF6"/>
    <w:rsid w:val="00BA7EC6"/>
    <w:rsid w:val="00BB0ED7"/>
    <w:rsid w:val="00BB13F6"/>
    <w:rsid w:val="00BB26FD"/>
    <w:rsid w:val="00BB4A4D"/>
    <w:rsid w:val="00BB668E"/>
    <w:rsid w:val="00BB7149"/>
    <w:rsid w:val="00BC386B"/>
    <w:rsid w:val="00BC568E"/>
    <w:rsid w:val="00BC5B75"/>
    <w:rsid w:val="00BC5E4D"/>
    <w:rsid w:val="00BD5905"/>
    <w:rsid w:val="00BE299D"/>
    <w:rsid w:val="00BE2C3F"/>
    <w:rsid w:val="00BE2E10"/>
    <w:rsid w:val="00BE6C3E"/>
    <w:rsid w:val="00BE7FA4"/>
    <w:rsid w:val="00BF091B"/>
    <w:rsid w:val="00BF0B7D"/>
    <w:rsid w:val="00BF5CA3"/>
    <w:rsid w:val="00C06048"/>
    <w:rsid w:val="00C07913"/>
    <w:rsid w:val="00C07C81"/>
    <w:rsid w:val="00C11907"/>
    <w:rsid w:val="00C14CDB"/>
    <w:rsid w:val="00C20DAE"/>
    <w:rsid w:val="00C23887"/>
    <w:rsid w:val="00C26561"/>
    <w:rsid w:val="00C276E9"/>
    <w:rsid w:val="00C305BF"/>
    <w:rsid w:val="00C336E8"/>
    <w:rsid w:val="00C41A62"/>
    <w:rsid w:val="00C4493F"/>
    <w:rsid w:val="00C4787F"/>
    <w:rsid w:val="00C631D5"/>
    <w:rsid w:val="00C643EC"/>
    <w:rsid w:val="00C65577"/>
    <w:rsid w:val="00C65D0A"/>
    <w:rsid w:val="00C660EF"/>
    <w:rsid w:val="00C66439"/>
    <w:rsid w:val="00C66538"/>
    <w:rsid w:val="00C67066"/>
    <w:rsid w:val="00C80CF9"/>
    <w:rsid w:val="00C907B8"/>
    <w:rsid w:val="00CA156F"/>
    <w:rsid w:val="00CA3236"/>
    <w:rsid w:val="00CA4E32"/>
    <w:rsid w:val="00CA4F8B"/>
    <w:rsid w:val="00CB0B10"/>
    <w:rsid w:val="00CB494E"/>
    <w:rsid w:val="00CB6359"/>
    <w:rsid w:val="00CC2FD6"/>
    <w:rsid w:val="00CC3208"/>
    <w:rsid w:val="00CC53DF"/>
    <w:rsid w:val="00CC68C4"/>
    <w:rsid w:val="00CE03D3"/>
    <w:rsid w:val="00CE1A44"/>
    <w:rsid w:val="00CE48C0"/>
    <w:rsid w:val="00CE699B"/>
    <w:rsid w:val="00CE6D40"/>
    <w:rsid w:val="00CE731F"/>
    <w:rsid w:val="00CE7FA0"/>
    <w:rsid w:val="00D0081E"/>
    <w:rsid w:val="00D01EA1"/>
    <w:rsid w:val="00D0524E"/>
    <w:rsid w:val="00D05C26"/>
    <w:rsid w:val="00D0723F"/>
    <w:rsid w:val="00D21771"/>
    <w:rsid w:val="00D2228B"/>
    <w:rsid w:val="00D274C4"/>
    <w:rsid w:val="00D3245D"/>
    <w:rsid w:val="00D33D8D"/>
    <w:rsid w:val="00D40E36"/>
    <w:rsid w:val="00D426E4"/>
    <w:rsid w:val="00D442AF"/>
    <w:rsid w:val="00D45FC1"/>
    <w:rsid w:val="00D46F57"/>
    <w:rsid w:val="00D50168"/>
    <w:rsid w:val="00D518CA"/>
    <w:rsid w:val="00D51F15"/>
    <w:rsid w:val="00D55785"/>
    <w:rsid w:val="00D5626A"/>
    <w:rsid w:val="00D56DF9"/>
    <w:rsid w:val="00D57D24"/>
    <w:rsid w:val="00D64031"/>
    <w:rsid w:val="00D70565"/>
    <w:rsid w:val="00D750BE"/>
    <w:rsid w:val="00D76B03"/>
    <w:rsid w:val="00D76CE1"/>
    <w:rsid w:val="00D83143"/>
    <w:rsid w:val="00D84D20"/>
    <w:rsid w:val="00D903BC"/>
    <w:rsid w:val="00D90E5C"/>
    <w:rsid w:val="00D95270"/>
    <w:rsid w:val="00D95C24"/>
    <w:rsid w:val="00DA5238"/>
    <w:rsid w:val="00DA7199"/>
    <w:rsid w:val="00DA72F4"/>
    <w:rsid w:val="00DB1DF2"/>
    <w:rsid w:val="00DB76A9"/>
    <w:rsid w:val="00DC047A"/>
    <w:rsid w:val="00DC1CAB"/>
    <w:rsid w:val="00DC4302"/>
    <w:rsid w:val="00DC7477"/>
    <w:rsid w:val="00DD2766"/>
    <w:rsid w:val="00DD2988"/>
    <w:rsid w:val="00DD47FD"/>
    <w:rsid w:val="00DD4F6D"/>
    <w:rsid w:val="00DD7A4A"/>
    <w:rsid w:val="00DF5448"/>
    <w:rsid w:val="00DF7FCD"/>
    <w:rsid w:val="00E002F1"/>
    <w:rsid w:val="00E02B9B"/>
    <w:rsid w:val="00E03E0E"/>
    <w:rsid w:val="00E04CB3"/>
    <w:rsid w:val="00E10293"/>
    <w:rsid w:val="00E108BC"/>
    <w:rsid w:val="00E16B3D"/>
    <w:rsid w:val="00E1719D"/>
    <w:rsid w:val="00E20D8A"/>
    <w:rsid w:val="00E23023"/>
    <w:rsid w:val="00E32F3E"/>
    <w:rsid w:val="00E35CE3"/>
    <w:rsid w:val="00E45BE6"/>
    <w:rsid w:val="00E466AD"/>
    <w:rsid w:val="00E46DCD"/>
    <w:rsid w:val="00E573FD"/>
    <w:rsid w:val="00E57537"/>
    <w:rsid w:val="00E71140"/>
    <w:rsid w:val="00E71159"/>
    <w:rsid w:val="00E727EA"/>
    <w:rsid w:val="00E7341C"/>
    <w:rsid w:val="00E756A8"/>
    <w:rsid w:val="00E7785F"/>
    <w:rsid w:val="00E8178F"/>
    <w:rsid w:val="00E825C7"/>
    <w:rsid w:val="00E85B54"/>
    <w:rsid w:val="00EA016C"/>
    <w:rsid w:val="00EA14BC"/>
    <w:rsid w:val="00EA5123"/>
    <w:rsid w:val="00EA72E3"/>
    <w:rsid w:val="00EB3530"/>
    <w:rsid w:val="00EC2F07"/>
    <w:rsid w:val="00EC6EF1"/>
    <w:rsid w:val="00ED5445"/>
    <w:rsid w:val="00EE114E"/>
    <w:rsid w:val="00EE14A9"/>
    <w:rsid w:val="00EE6B62"/>
    <w:rsid w:val="00EF0F35"/>
    <w:rsid w:val="00EF1620"/>
    <w:rsid w:val="00EF3FB1"/>
    <w:rsid w:val="00EF4D66"/>
    <w:rsid w:val="00EF5BEE"/>
    <w:rsid w:val="00F01AEF"/>
    <w:rsid w:val="00F01E3C"/>
    <w:rsid w:val="00F06B3E"/>
    <w:rsid w:val="00F10DFF"/>
    <w:rsid w:val="00F1137B"/>
    <w:rsid w:val="00F21717"/>
    <w:rsid w:val="00F24D82"/>
    <w:rsid w:val="00F4133B"/>
    <w:rsid w:val="00F42828"/>
    <w:rsid w:val="00F446AA"/>
    <w:rsid w:val="00F527F1"/>
    <w:rsid w:val="00F533A3"/>
    <w:rsid w:val="00F55F1B"/>
    <w:rsid w:val="00F56A40"/>
    <w:rsid w:val="00F57DEF"/>
    <w:rsid w:val="00F600AF"/>
    <w:rsid w:val="00F60DF7"/>
    <w:rsid w:val="00F615E3"/>
    <w:rsid w:val="00F66C69"/>
    <w:rsid w:val="00F725AA"/>
    <w:rsid w:val="00F72BE9"/>
    <w:rsid w:val="00F75609"/>
    <w:rsid w:val="00F75E6E"/>
    <w:rsid w:val="00F75F4E"/>
    <w:rsid w:val="00F81935"/>
    <w:rsid w:val="00F846D2"/>
    <w:rsid w:val="00F87F26"/>
    <w:rsid w:val="00F90D4E"/>
    <w:rsid w:val="00F90E05"/>
    <w:rsid w:val="00F90FD4"/>
    <w:rsid w:val="00F91F5B"/>
    <w:rsid w:val="00F92456"/>
    <w:rsid w:val="00F9281A"/>
    <w:rsid w:val="00F92C66"/>
    <w:rsid w:val="00F96E2B"/>
    <w:rsid w:val="00FA1F21"/>
    <w:rsid w:val="00FA2A3F"/>
    <w:rsid w:val="00FB5513"/>
    <w:rsid w:val="00FB5967"/>
    <w:rsid w:val="00FC0F1A"/>
    <w:rsid w:val="00FC31F1"/>
    <w:rsid w:val="00FC4086"/>
    <w:rsid w:val="00FD0B21"/>
    <w:rsid w:val="00FD360A"/>
    <w:rsid w:val="00FE4644"/>
    <w:rsid w:val="00FE53F1"/>
    <w:rsid w:val="00FE5798"/>
    <w:rsid w:val="00FE6F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EA26"/>
  <w15:chartTrackingRefBased/>
  <w15:docId w15:val="{1EEB9C9E-28CC-4B80-B0ED-E98FC901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524C1"/>
    <w:pPr>
      <w:keepNext/>
      <w:keepLines/>
      <w:numPr>
        <w:numId w:val="1"/>
      </w:numPr>
      <w:spacing w:before="240" w:after="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5524C1"/>
    <w:pPr>
      <w:keepNext/>
      <w:keepLines/>
      <w:numPr>
        <w:ilvl w:val="1"/>
        <w:numId w:val="1"/>
      </w:numPr>
      <w:spacing w:before="40" w:after="2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3D0034"/>
    <w:pPr>
      <w:keepNext/>
      <w:keepLines/>
      <w:numPr>
        <w:ilvl w:val="2"/>
        <w:numId w:val="1"/>
      </w:numPr>
      <w:spacing w:before="40" w:after="2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semiHidden/>
    <w:unhideWhenUsed/>
    <w:qFormat/>
    <w:rsid w:val="005524C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5524C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5524C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5524C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5524C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5524C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524C1"/>
    <w:rPr>
      <w:rFonts w:asciiTheme="majorHAnsi" w:eastAsiaTheme="majorEastAsia" w:hAnsiTheme="majorHAnsi" w:cstheme="majorBidi"/>
      <w:color w:val="2E74B5" w:themeColor="accent1" w:themeShade="BF"/>
      <w:sz w:val="32"/>
      <w:szCs w:val="32"/>
    </w:rPr>
  </w:style>
  <w:style w:type="paragraph" w:styleId="Otsikko">
    <w:name w:val="Title"/>
    <w:basedOn w:val="Normaali"/>
    <w:next w:val="Normaali"/>
    <w:link w:val="OtsikkoChar"/>
    <w:uiPriority w:val="10"/>
    <w:qFormat/>
    <w:rsid w:val="00552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524C1"/>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5524C1"/>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3D0034"/>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semiHidden/>
    <w:rsid w:val="005524C1"/>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semiHidden/>
    <w:rsid w:val="005524C1"/>
    <w:rPr>
      <w:rFonts w:asciiTheme="majorHAnsi" w:eastAsiaTheme="majorEastAsia" w:hAnsiTheme="majorHAnsi" w:cstheme="majorBidi"/>
      <w:color w:val="2E74B5" w:themeColor="accent1" w:themeShade="BF"/>
    </w:rPr>
  </w:style>
  <w:style w:type="character" w:customStyle="1" w:styleId="Otsikko6Char">
    <w:name w:val="Otsikko 6 Char"/>
    <w:basedOn w:val="Kappaleenoletusfontti"/>
    <w:link w:val="Otsikko6"/>
    <w:uiPriority w:val="9"/>
    <w:semiHidden/>
    <w:rsid w:val="005524C1"/>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semiHidden/>
    <w:rsid w:val="005524C1"/>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semiHidden/>
    <w:rsid w:val="005524C1"/>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5524C1"/>
    <w:rPr>
      <w:rFonts w:asciiTheme="majorHAnsi" w:eastAsiaTheme="majorEastAsia" w:hAnsiTheme="majorHAnsi" w:cstheme="majorBidi"/>
      <w:i/>
      <w:iCs/>
      <w:color w:val="272727" w:themeColor="text1" w:themeTint="D8"/>
      <w:sz w:val="21"/>
      <w:szCs w:val="21"/>
    </w:rPr>
  </w:style>
  <w:style w:type="paragraph" w:styleId="Luettelokappale">
    <w:name w:val="List Paragraph"/>
    <w:basedOn w:val="Normaali"/>
    <w:uiPriority w:val="34"/>
    <w:qFormat/>
    <w:rsid w:val="008633BD"/>
    <w:pPr>
      <w:ind w:left="720"/>
      <w:contextualSpacing/>
    </w:pPr>
  </w:style>
  <w:style w:type="table" w:styleId="TaulukkoRuudukko">
    <w:name w:val="Table Grid"/>
    <w:basedOn w:val="Normaalitaulukko"/>
    <w:uiPriority w:val="39"/>
    <w:rsid w:val="00D9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2049D1"/>
    <w:rPr>
      <w:sz w:val="16"/>
      <w:szCs w:val="16"/>
    </w:rPr>
  </w:style>
  <w:style w:type="paragraph" w:styleId="Kommentinteksti">
    <w:name w:val="annotation text"/>
    <w:basedOn w:val="Normaali"/>
    <w:link w:val="KommentintekstiChar"/>
    <w:uiPriority w:val="99"/>
    <w:semiHidden/>
    <w:unhideWhenUsed/>
    <w:rsid w:val="002049D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2049D1"/>
    <w:rPr>
      <w:sz w:val="20"/>
      <w:szCs w:val="20"/>
    </w:rPr>
  </w:style>
  <w:style w:type="paragraph" w:styleId="Kommentinotsikko">
    <w:name w:val="annotation subject"/>
    <w:basedOn w:val="Kommentinteksti"/>
    <w:next w:val="Kommentinteksti"/>
    <w:link w:val="KommentinotsikkoChar"/>
    <w:uiPriority w:val="99"/>
    <w:semiHidden/>
    <w:unhideWhenUsed/>
    <w:rsid w:val="002049D1"/>
    <w:rPr>
      <w:b/>
      <w:bCs/>
    </w:rPr>
  </w:style>
  <w:style w:type="character" w:customStyle="1" w:styleId="KommentinotsikkoChar">
    <w:name w:val="Kommentin otsikko Char"/>
    <w:basedOn w:val="KommentintekstiChar"/>
    <w:link w:val="Kommentinotsikko"/>
    <w:uiPriority w:val="99"/>
    <w:semiHidden/>
    <w:rsid w:val="002049D1"/>
    <w:rPr>
      <w:b/>
      <w:bCs/>
      <w:sz w:val="20"/>
      <w:szCs w:val="20"/>
    </w:rPr>
  </w:style>
  <w:style w:type="paragraph" w:styleId="Seliteteksti">
    <w:name w:val="Balloon Text"/>
    <w:basedOn w:val="Normaali"/>
    <w:link w:val="SelitetekstiChar"/>
    <w:uiPriority w:val="99"/>
    <w:semiHidden/>
    <w:unhideWhenUsed/>
    <w:rsid w:val="002049D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049D1"/>
    <w:rPr>
      <w:rFonts w:ascii="Segoe UI" w:hAnsi="Segoe UI" w:cs="Segoe UI"/>
      <w:sz w:val="18"/>
      <w:szCs w:val="18"/>
    </w:rPr>
  </w:style>
  <w:style w:type="paragraph" w:customStyle="1" w:styleId="Ingressi">
    <w:name w:val="Ingressi"/>
    <w:basedOn w:val="Normaali"/>
    <w:link w:val="IngressiChar"/>
    <w:qFormat/>
    <w:rsid w:val="00497255"/>
    <w:pPr>
      <w:spacing w:before="240"/>
    </w:pPr>
    <w:rPr>
      <w:b/>
      <w:sz w:val="18"/>
    </w:rPr>
  </w:style>
  <w:style w:type="character" w:customStyle="1" w:styleId="IngressiChar">
    <w:name w:val="Ingressi Char"/>
    <w:basedOn w:val="Kappaleenoletusfontti"/>
    <w:link w:val="Ingressi"/>
    <w:rsid w:val="00497255"/>
    <w:rPr>
      <w:b/>
      <w:sz w:val="18"/>
    </w:rPr>
  </w:style>
  <w:style w:type="paragraph" w:styleId="Yltunniste">
    <w:name w:val="header"/>
    <w:basedOn w:val="Normaali"/>
    <w:link w:val="YltunnisteChar"/>
    <w:uiPriority w:val="99"/>
    <w:unhideWhenUsed/>
    <w:rsid w:val="0049725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97255"/>
  </w:style>
  <w:style w:type="paragraph" w:styleId="Alatunniste">
    <w:name w:val="footer"/>
    <w:basedOn w:val="Normaali"/>
    <w:link w:val="AlatunnisteChar"/>
    <w:uiPriority w:val="99"/>
    <w:unhideWhenUsed/>
    <w:rsid w:val="0049725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97255"/>
  </w:style>
  <w:style w:type="paragraph" w:styleId="Sisluet1">
    <w:name w:val="toc 1"/>
    <w:basedOn w:val="Normaali"/>
    <w:next w:val="Normaali"/>
    <w:autoRedefine/>
    <w:uiPriority w:val="39"/>
    <w:unhideWhenUsed/>
    <w:rsid w:val="003018D7"/>
    <w:pPr>
      <w:spacing w:after="100"/>
    </w:pPr>
  </w:style>
  <w:style w:type="character" w:styleId="Hyperlinkki">
    <w:name w:val="Hyperlink"/>
    <w:basedOn w:val="Kappaleenoletusfontti"/>
    <w:uiPriority w:val="99"/>
    <w:unhideWhenUsed/>
    <w:rsid w:val="003018D7"/>
    <w:rPr>
      <w:color w:val="0563C1" w:themeColor="hyperlink"/>
      <w:u w:val="single"/>
    </w:rPr>
  </w:style>
  <w:style w:type="paragraph" w:styleId="Kuvaotsikko">
    <w:name w:val="caption"/>
    <w:basedOn w:val="Normaali"/>
    <w:next w:val="Normaali"/>
    <w:uiPriority w:val="35"/>
    <w:unhideWhenUsed/>
    <w:qFormat/>
    <w:rsid w:val="003018D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2501</Words>
  <Characters>20264</Characters>
  <Application>Microsoft Office Word</Application>
  <DocSecurity>0</DocSecurity>
  <Lines>168</Lines>
  <Paragraphs>45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Santeri Naumanen</dc:creator>
  <cp:keywords/>
  <dc:description/>
  <cp:lastModifiedBy>Naumanen Santeri</cp:lastModifiedBy>
  <cp:revision>46</cp:revision>
  <dcterms:created xsi:type="dcterms:W3CDTF">2016-12-15T15:22:00Z</dcterms:created>
  <dcterms:modified xsi:type="dcterms:W3CDTF">2017-07-21T12:57:00Z</dcterms:modified>
</cp:coreProperties>
</file>