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3" w:rsidRDefault="0049696E" w:rsidP="00F615E3">
      <w:pPr>
        <w:pStyle w:val="Otsikko"/>
        <w:rPr>
          <w:sz w:val="44"/>
        </w:rPr>
      </w:pPr>
      <w:r>
        <w:rPr>
          <w:sz w:val="44"/>
        </w:rPr>
        <w:t>Tarjouspyyntöesimerkki 3.0</w:t>
      </w:r>
      <w:r w:rsidR="003C2DC1" w:rsidRPr="00055BFB">
        <w:rPr>
          <w:sz w:val="44"/>
        </w:rPr>
        <w:t xml:space="preserve"> – </w:t>
      </w:r>
      <w:r>
        <w:rPr>
          <w:sz w:val="44"/>
        </w:rPr>
        <w:t>Rajoitettu menettely neuvotteluoptiolla kansallisessa hankinnassa</w:t>
      </w:r>
    </w:p>
    <w:p w:rsidR="00055BFB" w:rsidRPr="00055BFB" w:rsidRDefault="00055BFB" w:rsidP="00055BFB">
      <w:pPr>
        <w:pStyle w:val="Otsikko"/>
        <w:rPr>
          <w:sz w:val="28"/>
        </w:rPr>
      </w:pPr>
      <w:r>
        <w:rPr>
          <w:sz w:val="28"/>
        </w:rPr>
        <w:t xml:space="preserve">Puurakenteisen liikuntahallin </w:t>
      </w:r>
      <w:r w:rsidR="005717B6">
        <w:rPr>
          <w:sz w:val="28"/>
        </w:rPr>
        <w:t>geo</w:t>
      </w:r>
      <w:r w:rsidR="00F90BFB">
        <w:rPr>
          <w:sz w:val="28"/>
        </w:rPr>
        <w:t xml:space="preserve">tekninen </w:t>
      </w:r>
      <w:r w:rsidR="005717B6">
        <w:rPr>
          <w:sz w:val="28"/>
        </w:rPr>
        <w:t>suunnittelu</w:t>
      </w:r>
    </w:p>
    <w:p w:rsidR="00E257CB" w:rsidRDefault="00E257CB" w:rsidP="00E257CB">
      <w:pPr>
        <w:pStyle w:val="Ingressi"/>
      </w:pPr>
      <w:r w:rsidRPr="003D7EC0">
        <w:t>Tämä tarjouspyyntöesimerkki on kuvassa 1 esitetyn RT-ohjekorttisarjan kortin 3.0 käyttöä tukeva linkitetty dokumentti. Tässä liitteillä täydennettävän tarjouspyyntökirjeen mallissa on esimerkkinä puurakenteisen liikuntahallin geotekninen suunnittelu.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p>
    <w:p w:rsidR="00073551" w:rsidRDefault="00073551" w:rsidP="00073551">
      <w:pPr>
        <w:pStyle w:val="Ingressi"/>
        <w:shd w:val="clear" w:color="auto" w:fill="E7E6E6" w:themeFill="background2"/>
        <w:spacing w:after="0" w:line="276" w:lineRule="auto"/>
      </w:pPr>
      <w:r>
        <w:t>Tässä tarjouspyyntöesimerkissä käytetään seuraavia tekstityylejä:</w:t>
      </w:r>
    </w:p>
    <w:p w:rsidR="00073551" w:rsidRDefault="00073551" w:rsidP="00073551">
      <w:pPr>
        <w:pStyle w:val="Ingressi"/>
        <w:shd w:val="clear" w:color="auto" w:fill="E7E6E6" w:themeFill="background2"/>
        <w:spacing w:before="0" w:after="0" w:line="276" w:lineRule="auto"/>
        <w:rPr>
          <w:b w:val="0"/>
        </w:rPr>
      </w:pPr>
      <w:r>
        <w:rPr>
          <w:b w:val="0"/>
        </w:rPr>
        <w:t>Esimerkkiteksti</w:t>
      </w:r>
    </w:p>
    <w:p w:rsidR="00073551" w:rsidRPr="00073551" w:rsidRDefault="00073551" w:rsidP="00073551">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rsidR="00E257CB" w:rsidRDefault="00E257CB" w:rsidP="00E257CB">
      <w:pPr>
        <w:keepNext/>
        <w:jc w:val="center"/>
      </w:pPr>
      <w:r>
        <w:rPr>
          <w:noProof/>
          <w:lang w:eastAsia="fi-FI"/>
        </w:rPr>
        <w:drawing>
          <wp:inline distT="0" distB="0" distL="0" distR="0" wp14:anchorId="72C89282" wp14:editId="13A9752C">
            <wp:extent cx="4105214" cy="3487176"/>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0706" cy="3542808"/>
                    </a:xfrm>
                    <a:prstGeom prst="rect">
                      <a:avLst/>
                    </a:prstGeom>
                  </pic:spPr>
                </pic:pic>
              </a:graphicData>
            </a:graphic>
          </wp:inline>
        </w:drawing>
      </w:r>
    </w:p>
    <w:p w:rsidR="00E257CB" w:rsidRDefault="00E257CB" w:rsidP="00E257CB">
      <w:pPr>
        <w:pStyle w:val="Kuvaotsikko"/>
      </w:pPr>
      <w:r w:rsidRPr="00BC3698">
        <w:t xml:space="preserve">Kuva </w:t>
      </w:r>
      <w:r w:rsidR="00353BDB" w:rsidRPr="00BC3698">
        <w:fldChar w:fldCharType="begin"/>
      </w:r>
      <w:r w:rsidR="00353BDB" w:rsidRPr="00BC3698">
        <w:instrText xml:space="preserve"> SEQ Kuva \* ARABIC </w:instrText>
      </w:r>
      <w:r w:rsidR="00353BDB" w:rsidRPr="00BC3698">
        <w:fldChar w:fldCharType="separate"/>
      </w:r>
      <w:r w:rsidRPr="00BC3698">
        <w:rPr>
          <w:noProof/>
        </w:rPr>
        <w:t>1</w:t>
      </w:r>
      <w:r w:rsidR="00353BDB" w:rsidRPr="00BC3698">
        <w:rPr>
          <w:noProof/>
        </w:rPr>
        <w:fldChar w:fldCharType="end"/>
      </w:r>
      <w:r w:rsidRPr="00BC3698">
        <w:t xml:space="preserve"> Ohjekorttisarjan rakenne</w:t>
      </w:r>
    </w:p>
    <w:p w:rsidR="00E257CB" w:rsidRPr="009A0C2D" w:rsidRDefault="00E257CB" w:rsidP="00E257CB">
      <w:pPr>
        <w:rPr>
          <w:b/>
          <w:sz w:val="18"/>
        </w:rPr>
      </w:pPr>
      <w:r w:rsidRPr="009A0C2D">
        <w:rPr>
          <w:b/>
          <w:sz w:val="18"/>
        </w:rPr>
        <w:t>Sisällysluettelo</w:t>
      </w:r>
    </w:p>
    <w:p w:rsidR="0052169B" w:rsidRPr="0052169B" w:rsidRDefault="00E257CB">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8982" w:history="1">
        <w:r w:rsidR="0052169B" w:rsidRPr="0052169B">
          <w:rPr>
            <w:rStyle w:val="Hyperlinkki"/>
            <w:noProof/>
            <w:sz w:val="18"/>
          </w:rPr>
          <w:t>1</w:t>
        </w:r>
        <w:r w:rsidR="0052169B" w:rsidRPr="0052169B">
          <w:rPr>
            <w:rFonts w:eastAsiaTheme="minorEastAsia"/>
            <w:noProof/>
            <w:sz w:val="18"/>
            <w:lang w:eastAsia="fi-FI"/>
          </w:rPr>
          <w:tab/>
        </w:r>
        <w:r w:rsidR="0052169B" w:rsidRPr="0052169B">
          <w:rPr>
            <w:rStyle w:val="Hyperlinkki"/>
            <w:noProof/>
            <w:sz w:val="18"/>
          </w:rPr>
          <w:t>Hankintayksikkö ja yhteyshenkilö</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_Toc469578982 \h </w:instrText>
        </w:r>
        <w:r w:rsidR="0052169B" w:rsidRPr="0052169B">
          <w:rPr>
            <w:noProof/>
            <w:webHidden/>
            <w:sz w:val="18"/>
          </w:rPr>
        </w:r>
        <w:r w:rsidR="0052169B" w:rsidRPr="0052169B">
          <w:rPr>
            <w:noProof/>
            <w:webHidden/>
            <w:sz w:val="18"/>
          </w:rPr>
          <w:fldChar w:fldCharType="separate"/>
        </w:r>
        <w:r w:rsidR="0052169B">
          <w:rPr>
            <w:noProof/>
            <w:webHidden/>
            <w:sz w:val="18"/>
          </w:rPr>
          <w:t>2</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3" w:history="1">
        <w:r w:rsidR="0052169B" w:rsidRPr="0052169B">
          <w:rPr>
            <w:rStyle w:val="Hyperlinkki"/>
            <w:noProof/>
            <w:sz w:val="18"/>
          </w:rPr>
          <w:t>2</w:t>
        </w:r>
        <w:r w:rsidR="0052169B" w:rsidRPr="0052169B">
          <w:rPr>
            <w:rFonts w:eastAsiaTheme="minorEastAsia"/>
            <w:noProof/>
            <w:sz w:val="18"/>
            <w:lang w:eastAsia="fi-FI"/>
          </w:rPr>
          <w:tab/>
        </w:r>
        <w:r w:rsidR="0052169B" w:rsidRPr="0052169B">
          <w:rPr>
            <w:rStyle w:val="Hyperlinkki"/>
            <w:noProof/>
            <w:sz w:val="18"/>
          </w:rPr>
          <w:t>Hankinnan kohde ja hanke</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_Toc469578983 \h </w:instrText>
        </w:r>
        <w:r w:rsidR="0052169B" w:rsidRPr="0052169B">
          <w:rPr>
            <w:noProof/>
            <w:webHidden/>
            <w:sz w:val="18"/>
          </w:rPr>
        </w:r>
        <w:r w:rsidR="0052169B" w:rsidRPr="0052169B">
          <w:rPr>
            <w:noProof/>
            <w:webHidden/>
            <w:sz w:val="18"/>
          </w:rPr>
          <w:fldChar w:fldCharType="separate"/>
        </w:r>
        <w:r w:rsidR="0052169B">
          <w:rPr>
            <w:noProof/>
            <w:webHidden/>
            <w:sz w:val="18"/>
          </w:rPr>
          <w:t>2</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4" w:history="1">
        <w:r w:rsidR="0052169B" w:rsidRPr="0052169B">
          <w:rPr>
            <w:rStyle w:val="Hyperlinkki"/>
            <w:noProof/>
            <w:sz w:val="18"/>
            <w:lang w:eastAsia="fi-FI"/>
          </w:rPr>
          <w:t>3</w:t>
        </w:r>
        <w:r w:rsidR="0052169B" w:rsidRPr="0052169B">
          <w:rPr>
            <w:rFonts w:eastAsiaTheme="minorEastAsia"/>
            <w:noProof/>
            <w:sz w:val="18"/>
            <w:lang w:eastAsia="fi-FI"/>
          </w:rPr>
          <w:tab/>
        </w:r>
        <w:r w:rsidR="0052169B" w:rsidRPr="0052169B">
          <w:rPr>
            <w:rStyle w:val="Hyperlinkki"/>
            <w:noProof/>
            <w:sz w:val="18"/>
            <w:lang w:eastAsia="fi-FI"/>
          </w:rPr>
          <w:t>Hankintamenettely</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_Toc469578984 \h </w:instrText>
        </w:r>
        <w:r w:rsidR="0052169B" w:rsidRPr="0052169B">
          <w:rPr>
            <w:noProof/>
            <w:webHidden/>
            <w:sz w:val="18"/>
          </w:rPr>
        </w:r>
        <w:r w:rsidR="0052169B" w:rsidRPr="0052169B">
          <w:rPr>
            <w:noProof/>
            <w:webHidden/>
            <w:sz w:val="18"/>
          </w:rPr>
          <w:fldChar w:fldCharType="separate"/>
        </w:r>
        <w:r w:rsidR="0052169B">
          <w:rPr>
            <w:noProof/>
            <w:webHidden/>
            <w:sz w:val="18"/>
          </w:rPr>
          <w:t>3</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5" w:history="1">
        <w:r w:rsidR="0052169B" w:rsidRPr="0052169B">
          <w:rPr>
            <w:rStyle w:val="Hyperlinkki"/>
            <w:noProof/>
            <w:sz w:val="18"/>
            <w:lang w:eastAsia="fi-FI"/>
          </w:rPr>
          <w:t>4</w:t>
        </w:r>
        <w:r w:rsidR="0052169B" w:rsidRPr="0052169B">
          <w:rPr>
            <w:rFonts w:eastAsiaTheme="minorEastAsia"/>
            <w:noProof/>
            <w:sz w:val="18"/>
            <w:lang w:eastAsia="fi-FI"/>
          </w:rPr>
          <w:tab/>
        </w:r>
        <w:r w:rsidR="0052169B" w:rsidRPr="0052169B">
          <w:rPr>
            <w:rStyle w:val="Hyperlinkki"/>
            <w:noProof/>
            <w:sz w:val="18"/>
            <w:lang w:eastAsia="fi-FI"/>
          </w:rPr>
          <w:t>Osallistumisvaatimukset</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_Toc469578985 \h </w:instrText>
        </w:r>
        <w:r w:rsidR="0052169B" w:rsidRPr="0052169B">
          <w:rPr>
            <w:noProof/>
            <w:webHidden/>
            <w:sz w:val="18"/>
          </w:rPr>
        </w:r>
        <w:r w:rsidR="0052169B" w:rsidRPr="0052169B">
          <w:rPr>
            <w:noProof/>
            <w:webHidden/>
            <w:sz w:val="18"/>
          </w:rPr>
          <w:fldChar w:fldCharType="separate"/>
        </w:r>
        <w:r w:rsidR="0052169B">
          <w:rPr>
            <w:noProof/>
            <w:webHidden/>
            <w:sz w:val="18"/>
          </w:rPr>
          <w:t>3</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6" w:history="1">
        <w:r w:rsidR="0052169B" w:rsidRPr="0052169B">
          <w:rPr>
            <w:rStyle w:val="Hyperlinkki"/>
            <w:noProof/>
            <w:sz w:val="18"/>
          </w:rPr>
          <w:t>5</w:t>
        </w:r>
        <w:r w:rsidR="0052169B" w:rsidRPr="0052169B">
          <w:rPr>
            <w:rFonts w:eastAsiaTheme="minorEastAsia"/>
            <w:noProof/>
            <w:sz w:val="18"/>
            <w:lang w:eastAsia="fi-FI"/>
          </w:rPr>
          <w:tab/>
        </w:r>
        <w:r w:rsidR="0052169B" w:rsidRPr="0052169B">
          <w:rPr>
            <w:rStyle w:val="Hyperlinkki"/>
            <w:noProof/>
            <w:sz w:val="18"/>
          </w:rPr>
          <w:t>Tarjouksen sisältö ja jättäminen</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_Toc469578986 \h </w:instrText>
        </w:r>
        <w:r w:rsidR="0052169B" w:rsidRPr="0052169B">
          <w:rPr>
            <w:noProof/>
            <w:webHidden/>
            <w:sz w:val="18"/>
          </w:rPr>
        </w:r>
        <w:r w:rsidR="0052169B" w:rsidRPr="0052169B">
          <w:rPr>
            <w:noProof/>
            <w:webHidden/>
            <w:sz w:val="18"/>
          </w:rPr>
          <w:fldChar w:fldCharType="separate"/>
        </w:r>
        <w:r w:rsidR="0052169B">
          <w:rPr>
            <w:noProof/>
            <w:webHidden/>
            <w:sz w:val="18"/>
          </w:rPr>
          <w:t>5</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7" w:history="1">
        <w:r w:rsidR="0052169B" w:rsidRPr="0052169B">
          <w:rPr>
            <w:rStyle w:val="Hyperlinkki"/>
            <w:noProof/>
            <w:sz w:val="18"/>
          </w:rPr>
          <w:t>6</w:t>
        </w:r>
        <w:r w:rsidR="0052169B" w:rsidRPr="0052169B">
          <w:rPr>
            <w:rFonts w:eastAsiaTheme="minorEastAsia"/>
            <w:noProof/>
            <w:sz w:val="18"/>
            <w:lang w:eastAsia="fi-FI"/>
          </w:rPr>
          <w:tab/>
        </w:r>
        <w:r w:rsidR="0052169B" w:rsidRPr="0052169B">
          <w:rPr>
            <w:rStyle w:val="Hyperlinkki"/>
            <w:noProof/>
            <w:sz w:val="18"/>
          </w:rPr>
          <w:t>Tarjousten käsittely</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_Toc469578987 \h </w:instrText>
        </w:r>
        <w:r w:rsidR="0052169B" w:rsidRPr="0052169B">
          <w:rPr>
            <w:noProof/>
            <w:webHidden/>
            <w:sz w:val="18"/>
          </w:rPr>
        </w:r>
        <w:r w:rsidR="0052169B" w:rsidRPr="0052169B">
          <w:rPr>
            <w:noProof/>
            <w:webHidden/>
            <w:sz w:val="18"/>
          </w:rPr>
          <w:fldChar w:fldCharType="separate"/>
        </w:r>
        <w:r w:rsidR="0052169B">
          <w:rPr>
            <w:noProof/>
            <w:webHidden/>
            <w:sz w:val="18"/>
          </w:rPr>
          <w:t>7</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8" w:history="1">
        <w:r w:rsidR="0052169B" w:rsidRPr="0052169B">
          <w:rPr>
            <w:rStyle w:val="Hyperlinkki"/>
            <w:noProof/>
            <w:sz w:val="18"/>
          </w:rPr>
          <w:t>7</w:t>
        </w:r>
        <w:r w:rsidR="0052169B" w:rsidRPr="0052169B">
          <w:rPr>
            <w:rFonts w:eastAsiaTheme="minorEastAsia"/>
            <w:noProof/>
            <w:sz w:val="18"/>
            <w:lang w:eastAsia="fi-FI"/>
          </w:rPr>
          <w:tab/>
        </w:r>
        <w:r w:rsidR="0052169B" w:rsidRPr="0052169B">
          <w:rPr>
            <w:rStyle w:val="Hyperlinkki"/>
            <w:noProof/>
            <w:sz w:val="18"/>
          </w:rPr>
          <w:t>Sopimusehdot</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_Toc469578988 \h </w:instrText>
        </w:r>
        <w:r w:rsidR="0052169B" w:rsidRPr="0052169B">
          <w:rPr>
            <w:noProof/>
            <w:webHidden/>
            <w:sz w:val="18"/>
          </w:rPr>
        </w:r>
        <w:r w:rsidR="0052169B" w:rsidRPr="0052169B">
          <w:rPr>
            <w:noProof/>
            <w:webHidden/>
            <w:sz w:val="18"/>
          </w:rPr>
          <w:fldChar w:fldCharType="separate"/>
        </w:r>
        <w:r w:rsidR="0052169B">
          <w:rPr>
            <w:noProof/>
            <w:webHidden/>
            <w:sz w:val="18"/>
          </w:rPr>
          <w:t>8</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89" w:history="1">
        <w:r w:rsidR="0052169B" w:rsidRPr="0052169B">
          <w:rPr>
            <w:rStyle w:val="Hyperlinkki"/>
            <w:noProof/>
            <w:sz w:val="18"/>
          </w:rPr>
          <w:t>8</w:t>
        </w:r>
        <w:r w:rsidR="0052169B" w:rsidRPr="0052169B">
          <w:rPr>
            <w:rFonts w:eastAsiaTheme="minorEastAsia"/>
            <w:noProof/>
            <w:sz w:val="18"/>
            <w:lang w:eastAsia="fi-FI"/>
          </w:rPr>
          <w:tab/>
        </w:r>
        <w:r w:rsidR="0052169B" w:rsidRPr="0052169B">
          <w:rPr>
            <w:rStyle w:val="Hyperlinkki"/>
            <w:noProof/>
            <w:sz w:val="18"/>
          </w:rPr>
          <w:t>Lisätiedot</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_Toc469578989 \h </w:instrText>
        </w:r>
        <w:r w:rsidR="0052169B" w:rsidRPr="0052169B">
          <w:rPr>
            <w:noProof/>
            <w:webHidden/>
            <w:sz w:val="18"/>
          </w:rPr>
        </w:r>
        <w:r w:rsidR="0052169B" w:rsidRPr="0052169B">
          <w:rPr>
            <w:noProof/>
            <w:webHidden/>
            <w:sz w:val="18"/>
          </w:rPr>
          <w:fldChar w:fldCharType="separate"/>
        </w:r>
        <w:r w:rsidR="0052169B">
          <w:rPr>
            <w:noProof/>
            <w:webHidden/>
            <w:sz w:val="18"/>
          </w:rPr>
          <w:t>9</w:t>
        </w:r>
        <w:r w:rsidR="0052169B" w:rsidRPr="0052169B">
          <w:rPr>
            <w:noProof/>
            <w:webHidden/>
            <w:sz w:val="18"/>
          </w:rPr>
          <w:fldChar w:fldCharType="end"/>
        </w:r>
      </w:hyperlink>
    </w:p>
    <w:p w:rsidR="0052169B" w:rsidRPr="0052169B" w:rsidRDefault="007A0D5F">
      <w:pPr>
        <w:pStyle w:val="Sisluet1"/>
        <w:tabs>
          <w:tab w:val="left" w:pos="440"/>
          <w:tab w:val="right" w:leader="dot" w:pos="9628"/>
        </w:tabs>
        <w:rPr>
          <w:rFonts w:eastAsiaTheme="minorEastAsia"/>
          <w:noProof/>
          <w:sz w:val="18"/>
          <w:lang w:eastAsia="fi-FI"/>
        </w:rPr>
      </w:pPr>
      <w:hyperlink w:anchor="_Toc469578990" w:history="1">
        <w:r w:rsidR="0052169B" w:rsidRPr="0052169B">
          <w:rPr>
            <w:rStyle w:val="Hyperlinkki"/>
            <w:noProof/>
            <w:sz w:val="18"/>
          </w:rPr>
          <w:t>9</w:t>
        </w:r>
        <w:r w:rsidR="0052169B" w:rsidRPr="0052169B">
          <w:rPr>
            <w:rFonts w:eastAsiaTheme="minorEastAsia"/>
            <w:noProof/>
            <w:sz w:val="18"/>
            <w:lang w:eastAsia="fi-FI"/>
          </w:rPr>
          <w:tab/>
        </w:r>
        <w:r w:rsidR="0052169B" w:rsidRPr="0052169B">
          <w:rPr>
            <w:rStyle w:val="Hyperlinkki"/>
            <w:noProof/>
            <w:sz w:val="18"/>
          </w:rPr>
          <w:t>Liitteet</w:t>
        </w:r>
        <w:r w:rsidR="0052169B" w:rsidRPr="0052169B">
          <w:rPr>
            <w:noProof/>
            <w:webHidden/>
            <w:sz w:val="18"/>
          </w:rPr>
          <w:tab/>
        </w:r>
        <w:r w:rsidR="0052169B" w:rsidRPr="0052169B">
          <w:rPr>
            <w:noProof/>
            <w:webHidden/>
            <w:sz w:val="18"/>
          </w:rPr>
          <w:fldChar w:fldCharType="begin"/>
        </w:r>
        <w:r w:rsidR="0052169B" w:rsidRPr="0052169B">
          <w:rPr>
            <w:noProof/>
            <w:webHidden/>
            <w:sz w:val="18"/>
          </w:rPr>
          <w:instrText xml:space="preserve"> PAGEREF _Toc469578990 \h </w:instrText>
        </w:r>
        <w:r w:rsidR="0052169B" w:rsidRPr="0052169B">
          <w:rPr>
            <w:noProof/>
            <w:webHidden/>
            <w:sz w:val="18"/>
          </w:rPr>
        </w:r>
        <w:r w:rsidR="0052169B" w:rsidRPr="0052169B">
          <w:rPr>
            <w:noProof/>
            <w:webHidden/>
            <w:sz w:val="18"/>
          </w:rPr>
          <w:fldChar w:fldCharType="separate"/>
        </w:r>
        <w:r w:rsidR="0052169B">
          <w:rPr>
            <w:noProof/>
            <w:webHidden/>
            <w:sz w:val="18"/>
          </w:rPr>
          <w:t>9</w:t>
        </w:r>
        <w:r w:rsidR="0052169B" w:rsidRPr="0052169B">
          <w:rPr>
            <w:noProof/>
            <w:webHidden/>
            <w:sz w:val="18"/>
          </w:rPr>
          <w:fldChar w:fldCharType="end"/>
        </w:r>
      </w:hyperlink>
    </w:p>
    <w:p w:rsidR="00710FF7" w:rsidRPr="00DB74B7" w:rsidRDefault="00E257CB" w:rsidP="00710FF7">
      <w:pPr>
        <w:rPr>
          <w:sz w:val="18"/>
        </w:rPr>
      </w:pPr>
      <w:r w:rsidRPr="009A0C2D">
        <w:rPr>
          <w:sz w:val="18"/>
        </w:rPr>
        <w:fldChar w:fldCharType="end"/>
      </w:r>
    </w:p>
    <w:p w:rsidR="00710FF7" w:rsidRDefault="00710FF7" w:rsidP="00E257CB">
      <w:pPr>
        <w:sectPr w:rsidR="00710FF7" w:rsidSect="006669E9">
          <w:headerReference w:type="default" r:id="rId8"/>
          <w:pgSz w:w="11906" w:h="16838"/>
          <w:pgMar w:top="1417" w:right="1134" w:bottom="1417" w:left="1134" w:header="708" w:footer="708" w:gutter="0"/>
          <w:cols w:space="708"/>
          <w:docGrid w:linePitch="360"/>
        </w:sectPr>
      </w:pPr>
    </w:p>
    <w:p w:rsidR="00922C55" w:rsidRDefault="005524C1" w:rsidP="00E257CB">
      <w:r w:rsidRPr="005524C1">
        <w:lastRenderedPageBreak/>
        <w:t xml:space="preserve">Pyydämme tarjoustanne Urheilutien liikuntahallin uudisrakennuksen </w:t>
      </w:r>
      <w:r w:rsidR="007D57B7">
        <w:t>geoteknisestä suunnittelusta</w:t>
      </w:r>
      <w:r w:rsidRPr="00565D77">
        <w:t xml:space="preserve"> </w:t>
      </w:r>
      <w:r w:rsidRPr="005524C1">
        <w:t>tämän tarjouspyynnön ja</w:t>
      </w:r>
      <w:r w:rsidR="008A54A6">
        <w:t xml:space="preserve"> sen</w:t>
      </w:r>
      <w:r w:rsidRPr="005524C1">
        <w:t xml:space="preserve"> liitteenä olevien asiakirjojen mukaisesti. </w:t>
      </w:r>
    </w:p>
    <w:p w:rsidR="00BC386B" w:rsidRDefault="008A54A6" w:rsidP="00BC386B">
      <w:r>
        <w:t xml:space="preserve">Hankinnan ennakoitu arvo </w:t>
      </w:r>
      <w:r w:rsidR="007D57B7">
        <w:t>alittaa</w:t>
      </w:r>
      <w:r>
        <w:t xml:space="preserve"> hankintalain 26 §:ssä tarkoitetun EU-kynnysarvon ja</w:t>
      </w:r>
      <w:r w:rsidR="007D57B7">
        <w:t xml:space="preserve"> ylittää hankintalain 25 §:ssä tarkoitetun kansallisen kynnysarvon.</w:t>
      </w:r>
      <w:r>
        <w:t xml:space="preserve"> </w:t>
      </w:r>
      <w:r w:rsidR="002259DA">
        <w:t xml:space="preserve">Hankintaan sovelletaan hankintalain 11. luvussa kansallisille hankinnoille asetettuja säädöksiä. </w:t>
      </w:r>
      <w:r w:rsidR="007D57B7">
        <w:t>H</w:t>
      </w:r>
      <w:r>
        <w:t>ankintamenet</w:t>
      </w:r>
      <w:r w:rsidR="007D57B7">
        <w:t>telynä käytetään hankintalain 100 §:ssä tarkoitetun kansallisen hankintamenettelyn mukaista hankintamenettelyä (</w:t>
      </w:r>
      <w:r w:rsidR="00803C78">
        <w:t xml:space="preserve">hankintamenettelyn kuvaus esitetty </w:t>
      </w:r>
      <w:r w:rsidR="007D57B7">
        <w:t>kohdassa 3)</w:t>
      </w:r>
      <w:r w:rsidR="00164816">
        <w:t>. Kansallinen h</w:t>
      </w:r>
      <w:r w:rsidR="005524C1" w:rsidRPr="005524C1">
        <w:t>ankintai</w:t>
      </w:r>
      <w:r w:rsidR="002426DB">
        <w:t>lmoitus on julkaistu HILMA:ssa pp.kk</w:t>
      </w:r>
      <w:r w:rsidR="005524C1" w:rsidRPr="005524C1">
        <w:t>.</w:t>
      </w:r>
      <w:r w:rsidR="002426DB">
        <w:t>vvvv.</w:t>
      </w:r>
    </w:p>
    <w:p w:rsidR="005524C1" w:rsidRDefault="005524C1" w:rsidP="005524C1">
      <w:pPr>
        <w:pStyle w:val="Otsikko1"/>
      </w:pPr>
      <w:bookmarkStart w:id="0" w:name="_Toc469578982"/>
      <w:r w:rsidRPr="005524C1">
        <w:t>Hankintayksikkö</w:t>
      </w:r>
      <w:r>
        <w:t xml:space="preserve"> ja yhteyshenkilö</w:t>
      </w:r>
      <w:bookmarkEnd w:id="0"/>
    </w:p>
    <w:p w:rsidR="005524C1" w:rsidRDefault="005524C1" w:rsidP="005524C1">
      <w:pPr>
        <w:spacing w:after="0"/>
      </w:pPr>
      <w:r>
        <w:t>Kuntalan tilapalvelukeskus</w:t>
      </w:r>
    </w:p>
    <w:p w:rsidR="005524C1" w:rsidRDefault="005524C1" w:rsidP="005524C1">
      <w:pPr>
        <w:spacing w:after="0"/>
      </w:pPr>
      <w:r>
        <w:t>Kauppakatu 1A, 00000 Kuntala</w:t>
      </w:r>
    </w:p>
    <w:p w:rsidR="005524C1" w:rsidRDefault="005524C1" w:rsidP="005524C1">
      <w:pPr>
        <w:spacing w:after="0"/>
      </w:pPr>
      <w:r>
        <w:t>Yhteyshenkilö: rakennuspäällikkö Raimo Rakennuttaja</w:t>
      </w:r>
    </w:p>
    <w:p w:rsidR="005524C1" w:rsidRDefault="005524C1" w:rsidP="005524C1">
      <w:pPr>
        <w:spacing w:after="0"/>
      </w:pPr>
      <w:r>
        <w:t>Puhelin 555 123 456, sähköposti: raimo.rakennuttaja@kuntala.fi</w:t>
      </w:r>
    </w:p>
    <w:p w:rsidR="005524C1" w:rsidRDefault="005524C1" w:rsidP="005524C1">
      <w:pPr>
        <w:spacing w:after="0"/>
      </w:pPr>
      <w:r>
        <w:t>Kuntala on kunta Länsi-Suomessa. Kunnan rakennuttamisesta vastaa tilapalvelukeskus.</w:t>
      </w:r>
    </w:p>
    <w:p w:rsidR="00EA016C" w:rsidRPr="008A54A6" w:rsidRDefault="00FE53F1" w:rsidP="00EA016C">
      <w:pPr>
        <w:pStyle w:val="Otsikko1"/>
      </w:pPr>
      <w:bookmarkStart w:id="1" w:name="_Toc469578983"/>
      <w:r>
        <w:t>Hankinnan kohde</w:t>
      </w:r>
      <w:r w:rsidR="00F533A3">
        <w:t xml:space="preserve"> ja hanke</w:t>
      </w:r>
      <w:bookmarkEnd w:id="1"/>
    </w:p>
    <w:p w:rsidR="003569C4" w:rsidRDefault="003569C4" w:rsidP="003569C4">
      <w:pPr>
        <w:pStyle w:val="Otsikko2"/>
      </w:pPr>
      <w:r>
        <w:t>Hanke</w:t>
      </w:r>
    </w:p>
    <w:p w:rsidR="00985234" w:rsidRDefault="00985234" w:rsidP="00985234">
      <w:r>
        <w:t xml:space="preserve">Tämän tarjouspyynnön kohteena oleva suunnittelutoimeksianto liittyy Urheilutien liikuntahallin uudisrakennushankkeeseen. Kohteen arvioitu </w:t>
      </w:r>
      <w:r w:rsidRPr="00AC1B62">
        <w:t>pinta-ala</w:t>
      </w:r>
      <w:r>
        <w:t xml:space="preserve"> on 1950 </w:t>
      </w:r>
      <w:r w:rsidRPr="00AC1B62">
        <w:t>brm2</w:t>
      </w:r>
      <w:r>
        <w:t>. Kohde tulee sisältämään:</w:t>
      </w:r>
    </w:p>
    <w:p w:rsidR="00985234" w:rsidRDefault="00985234" w:rsidP="00985234">
      <w:pPr>
        <w:pStyle w:val="Luettelokappale"/>
        <w:numPr>
          <w:ilvl w:val="0"/>
          <w:numId w:val="23"/>
        </w:numPr>
      </w:pPr>
      <w:r w:rsidRPr="00E85A9F">
        <w:t>yhden 44x23 m salin, jonka vapaa korkeus tulee olemaan 7 metriä</w:t>
      </w:r>
    </w:p>
    <w:p w:rsidR="00985234" w:rsidRDefault="00985234" w:rsidP="00985234">
      <w:pPr>
        <w:pStyle w:val="Luettelokappale"/>
        <w:numPr>
          <w:ilvl w:val="1"/>
          <w:numId w:val="23"/>
        </w:numPr>
      </w:pPr>
      <w:r>
        <w:t>sisältäen yhden äänieristämättömän jakoseinän, jolla tila voidaan jakaa kahteen osaan</w:t>
      </w:r>
    </w:p>
    <w:p w:rsidR="00985234" w:rsidRDefault="00985234" w:rsidP="00985234">
      <w:pPr>
        <w:pStyle w:val="Luettelokappale"/>
        <w:numPr>
          <w:ilvl w:val="0"/>
          <w:numId w:val="23"/>
        </w:numPr>
      </w:pPr>
      <w:r>
        <w:t>kuntosalin</w:t>
      </w:r>
    </w:p>
    <w:p w:rsidR="00985234" w:rsidRDefault="00985234" w:rsidP="00985234">
      <w:pPr>
        <w:pStyle w:val="Luettelokappale"/>
        <w:numPr>
          <w:ilvl w:val="0"/>
          <w:numId w:val="23"/>
        </w:numPr>
      </w:pPr>
      <w:r>
        <w:t>puku- ja pesutilat</w:t>
      </w:r>
    </w:p>
    <w:p w:rsidR="00985234" w:rsidRDefault="00985234" w:rsidP="00985234">
      <w:pPr>
        <w:pStyle w:val="Luettelokappale"/>
        <w:numPr>
          <w:ilvl w:val="0"/>
          <w:numId w:val="23"/>
        </w:numPr>
      </w:pPr>
      <w:r>
        <w:t>henkilökuntatilat</w:t>
      </w:r>
    </w:p>
    <w:p w:rsidR="00985234" w:rsidRDefault="00985234" w:rsidP="00985234">
      <w:pPr>
        <w:pStyle w:val="Luettelokappale"/>
        <w:numPr>
          <w:ilvl w:val="0"/>
          <w:numId w:val="23"/>
        </w:numPr>
      </w:pPr>
      <w:r>
        <w:t>kenttien huoltovarasto</w:t>
      </w:r>
    </w:p>
    <w:p w:rsidR="00985234" w:rsidRDefault="00985234" w:rsidP="00985234">
      <w:pPr>
        <w:pStyle w:val="Luettelokappale"/>
        <w:numPr>
          <w:ilvl w:val="0"/>
          <w:numId w:val="23"/>
        </w:numPr>
      </w:pPr>
      <w:r>
        <w:t>viereistä ulkokenttää palvelevat pukutilat</w:t>
      </w:r>
    </w:p>
    <w:p w:rsidR="00704207" w:rsidRDefault="00985234" w:rsidP="00985234">
      <w:r>
        <w:t>Hallin kantavat rakenteet tehdään puusta.</w:t>
      </w:r>
    </w:p>
    <w:p w:rsidR="00F90E05" w:rsidRDefault="00F90E05" w:rsidP="00985234">
      <w:r>
        <w:t xml:space="preserve">Hankkeen ja </w:t>
      </w:r>
      <w:r w:rsidR="00661050">
        <w:t>sen</w:t>
      </w:r>
      <w:r>
        <w:t xml:space="preserve"> toteutuksen tarkempi yksilöinti on esitetty seuraavissa tämän tarjouspyynnön liitteissä:</w:t>
      </w:r>
    </w:p>
    <w:p w:rsidR="00F90E05" w:rsidRDefault="00F90E05" w:rsidP="00F90E05">
      <w:pPr>
        <w:pStyle w:val="Luettelokappale"/>
        <w:numPr>
          <w:ilvl w:val="0"/>
          <w:numId w:val="6"/>
        </w:numPr>
        <w:spacing w:after="0"/>
        <w:rPr>
          <w:lang w:eastAsia="fi-FI"/>
        </w:rPr>
      </w:pPr>
      <w:r>
        <w:rPr>
          <w:lang w:eastAsia="fi-FI"/>
        </w:rPr>
        <w:t>Liite 1: ”Hankeohjelma”</w:t>
      </w:r>
    </w:p>
    <w:p w:rsidR="00F90E05" w:rsidRDefault="00F90E05" w:rsidP="00F90E05">
      <w:pPr>
        <w:pStyle w:val="Luettelokappale"/>
        <w:numPr>
          <w:ilvl w:val="0"/>
          <w:numId w:val="6"/>
        </w:numPr>
        <w:spacing w:after="0"/>
        <w:rPr>
          <w:lang w:eastAsia="fi-FI"/>
        </w:rPr>
      </w:pPr>
      <w:r>
        <w:rPr>
          <w:lang w:eastAsia="fi-FI"/>
        </w:rPr>
        <w:t xml:space="preserve">Liite </w:t>
      </w:r>
      <w:r w:rsidRPr="00795195">
        <w:t>2</w:t>
      </w:r>
      <w:r>
        <w:t>:</w:t>
      </w:r>
      <w:r w:rsidR="00A61088">
        <w:t xml:space="preserve"> ”</w:t>
      </w:r>
      <w:r w:rsidRPr="00795195">
        <w:rPr>
          <w:lang w:eastAsia="fi-FI"/>
        </w:rPr>
        <w:t>RT 10–11106</w:t>
      </w:r>
      <w:r>
        <w:rPr>
          <w:lang w:eastAsia="fi-FI"/>
        </w:rPr>
        <w:t xml:space="preserve"> Hanketietokortti HT12 (täytetty)”</w:t>
      </w:r>
    </w:p>
    <w:p w:rsidR="00A61088" w:rsidRDefault="00A61088" w:rsidP="00A61088">
      <w:pPr>
        <w:spacing w:after="0"/>
        <w:rPr>
          <w:lang w:eastAsia="fi-FI"/>
        </w:rPr>
      </w:pPr>
    </w:p>
    <w:p w:rsidR="00A61088" w:rsidRDefault="00A61088" w:rsidP="00A61088">
      <w:pPr>
        <w:spacing w:after="0"/>
        <w:rPr>
          <w:lang w:eastAsia="fi-FI"/>
        </w:rPr>
      </w:pPr>
      <w:r>
        <w:rPr>
          <w:lang w:eastAsia="fi-FI"/>
        </w:rPr>
        <w:t>Liite 1 sisältää asemapiirroksen, johon on merkitty toimeksiantoa koskeva rakennus.</w:t>
      </w:r>
    </w:p>
    <w:p w:rsidR="008A54A6" w:rsidRDefault="008A54A6" w:rsidP="008A54A6">
      <w:pPr>
        <w:spacing w:after="0"/>
        <w:rPr>
          <w:lang w:eastAsia="fi-FI"/>
        </w:rPr>
      </w:pPr>
    </w:p>
    <w:p w:rsidR="008A54A6" w:rsidRDefault="008A54A6" w:rsidP="008A54A6">
      <w:pPr>
        <w:pStyle w:val="Otsikko2"/>
        <w:rPr>
          <w:lang w:eastAsia="fi-FI"/>
        </w:rPr>
      </w:pPr>
      <w:r>
        <w:rPr>
          <w:lang w:eastAsia="fi-FI"/>
        </w:rPr>
        <w:lastRenderedPageBreak/>
        <w:t>Hankinnan kohde</w:t>
      </w:r>
    </w:p>
    <w:p w:rsidR="008A54A6" w:rsidRDefault="008A54A6" w:rsidP="008A54A6">
      <w:pPr>
        <w:rPr>
          <w:lang w:eastAsia="fi-FI"/>
        </w:rPr>
      </w:pPr>
      <w:r>
        <w:rPr>
          <w:lang w:eastAsia="fi-FI"/>
        </w:rPr>
        <w:t xml:space="preserve">Hankinnan kohteena on tämän tarjouspyynnön kohdassa 2.1 esitetyn liikuntahallin uudisrakennushankkeen </w:t>
      </w:r>
      <w:r w:rsidR="00514F3E">
        <w:rPr>
          <w:lang w:eastAsia="fi-FI"/>
        </w:rPr>
        <w:t>geotekninen suunnittelu</w:t>
      </w:r>
      <w:r>
        <w:rPr>
          <w:lang w:eastAsia="fi-FI"/>
        </w:rPr>
        <w:t xml:space="preserve">. </w:t>
      </w:r>
      <w:r w:rsidR="009579B2">
        <w:rPr>
          <w:lang w:eastAsia="fi-FI"/>
        </w:rPr>
        <w:t>Geotekninen suunnittelu</w:t>
      </w:r>
      <w:r>
        <w:rPr>
          <w:lang w:eastAsia="fi-FI"/>
        </w:rPr>
        <w:t xml:space="preserve"> sisältää tämän tarjouspyynnön seuraavissa liitteissä esitetyt tehtävät:</w:t>
      </w:r>
    </w:p>
    <w:p w:rsidR="008771A0" w:rsidRDefault="008771A0" w:rsidP="00A16116">
      <w:pPr>
        <w:pStyle w:val="Luettelokappale"/>
        <w:numPr>
          <w:ilvl w:val="0"/>
          <w:numId w:val="6"/>
        </w:numPr>
        <w:spacing w:after="0"/>
        <w:rPr>
          <w:lang w:eastAsia="fi-FI"/>
        </w:rPr>
      </w:pPr>
      <w:r>
        <w:rPr>
          <w:lang w:eastAsia="fi-FI"/>
        </w:rPr>
        <w:t xml:space="preserve">Liite 2: </w:t>
      </w:r>
      <w:r>
        <w:t>”</w:t>
      </w:r>
      <w:r w:rsidRPr="00795195">
        <w:rPr>
          <w:lang w:eastAsia="fi-FI"/>
        </w:rPr>
        <w:t>RT 10–11106</w:t>
      </w:r>
      <w:r>
        <w:rPr>
          <w:lang w:eastAsia="fi-FI"/>
        </w:rPr>
        <w:t xml:space="preserve"> Hanketietokortti HT12 (täytetty)”</w:t>
      </w:r>
    </w:p>
    <w:p w:rsidR="00A16116" w:rsidRDefault="00A16116" w:rsidP="00DD14A9">
      <w:pPr>
        <w:pStyle w:val="Luettelokappale"/>
        <w:numPr>
          <w:ilvl w:val="0"/>
          <w:numId w:val="6"/>
        </w:numPr>
        <w:spacing w:after="0"/>
        <w:rPr>
          <w:lang w:eastAsia="fi-FI"/>
        </w:rPr>
      </w:pPr>
      <w:r>
        <w:rPr>
          <w:lang w:eastAsia="fi-FI"/>
        </w:rPr>
        <w:t xml:space="preserve">Liite 3: </w:t>
      </w:r>
      <w:r w:rsidR="00A61088">
        <w:rPr>
          <w:lang w:eastAsia="fi-FI"/>
        </w:rPr>
        <w:t>”</w:t>
      </w:r>
      <w:r w:rsidR="00E15E05">
        <w:rPr>
          <w:lang w:eastAsia="fi-FI"/>
        </w:rPr>
        <w:t>Geoteknisen suunnittelun</w:t>
      </w:r>
      <w:r>
        <w:rPr>
          <w:lang w:eastAsia="fi-FI"/>
        </w:rPr>
        <w:t xml:space="preserve"> tehtäväluettelo </w:t>
      </w:r>
      <w:r w:rsidR="00DD14A9">
        <w:rPr>
          <w:lang w:eastAsia="fi-FI"/>
        </w:rPr>
        <w:t>GEO</w:t>
      </w:r>
      <w:r w:rsidR="00A61088">
        <w:rPr>
          <w:lang w:eastAsia="fi-FI"/>
        </w:rPr>
        <w:t xml:space="preserve">12 </w:t>
      </w:r>
      <w:r>
        <w:rPr>
          <w:lang w:eastAsia="fi-FI"/>
        </w:rPr>
        <w:t>(rajauksin ja merkittyine lisätehtävineen)</w:t>
      </w:r>
      <w:r w:rsidR="00A61088">
        <w:rPr>
          <w:lang w:eastAsia="fi-FI"/>
        </w:rPr>
        <w:t>”</w:t>
      </w:r>
      <w:r w:rsidR="00DB74B7">
        <w:rPr>
          <w:lang w:eastAsia="fi-FI"/>
        </w:rPr>
        <w:t xml:space="preserve"> </w:t>
      </w:r>
      <w:r w:rsidR="00DB74B7" w:rsidRPr="00DB74B7">
        <w:rPr>
          <w:color w:val="538135" w:themeColor="accent6" w:themeShade="BF"/>
          <w:lang w:eastAsia="fi-FI"/>
        </w:rPr>
        <w:t>(Mahdollisten merkittyjen lisätehtävien osalta on yleisesti tarpeen esittää täsmentäviä tietoja tehtäväluetteloa täydentävillä asiakirjoilla)</w:t>
      </w:r>
    </w:p>
    <w:p w:rsidR="008A54A6" w:rsidRDefault="00D274C4" w:rsidP="00A16116">
      <w:pPr>
        <w:pStyle w:val="Luettelokappale"/>
        <w:numPr>
          <w:ilvl w:val="0"/>
          <w:numId w:val="6"/>
        </w:numPr>
        <w:spacing w:after="0"/>
        <w:rPr>
          <w:lang w:eastAsia="fi-FI"/>
        </w:rPr>
      </w:pPr>
      <w:r>
        <w:rPr>
          <w:lang w:eastAsia="fi-FI"/>
        </w:rPr>
        <w:t>Liite 4: ”</w:t>
      </w:r>
      <w:r w:rsidR="00F846D2">
        <w:rPr>
          <w:lang w:eastAsia="fi-FI"/>
        </w:rPr>
        <w:t>Hankekohtainen s</w:t>
      </w:r>
      <w:r>
        <w:rPr>
          <w:lang w:eastAsia="fi-FI"/>
        </w:rPr>
        <w:t>uunnitteluohje”</w:t>
      </w:r>
    </w:p>
    <w:p w:rsidR="00F846D2" w:rsidRDefault="00F846D2" w:rsidP="00A16116">
      <w:pPr>
        <w:pStyle w:val="Luettelokappale"/>
        <w:numPr>
          <w:ilvl w:val="0"/>
          <w:numId w:val="6"/>
        </w:numPr>
        <w:spacing w:after="0"/>
        <w:rPr>
          <w:lang w:eastAsia="fi-FI"/>
        </w:rPr>
      </w:pPr>
      <w:r>
        <w:rPr>
          <w:lang w:eastAsia="fi-FI"/>
        </w:rPr>
        <w:t>Liite 8: ”</w:t>
      </w:r>
      <w:r w:rsidR="00A83018">
        <w:rPr>
          <w:lang w:eastAsia="fi-FI"/>
        </w:rPr>
        <w:t>Geoteknisen s</w:t>
      </w:r>
      <w:r>
        <w:rPr>
          <w:lang w:eastAsia="fi-FI"/>
        </w:rPr>
        <w:t>uunnittelun rajapinnat”</w:t>
      </w:r>
    </w:p>
    <w:p w:rsidR="007649EC" w:rsidRDefault="007649EC" w:rsidP="00A16116">
      <w:pPr>
        <w:pStyle w:val="Luettelokappale"/>
        <w:numPr>
          <w:ilvl w:val="0"/>
          <w:numId w:val="6"/>
        </w:numPr>
        <w:spacing w:after="0"/>
        <w:rPr>
          <w:lang w:eastAsia="fi-FI"/>
        </w:rPr>
      </w:pPr>
      <w:r>
        <w:rPr>
          <w:lang w:eastAsia="fi-FI"/>
        </w:rPr>
        <w:t>Liite 10 ”Pohjatutkimusraportti”</w:t>
      </w:r>
    </w:p>
    <w:p w:rsidR="000B6909" w:rsidRDefault="000B6909" w:rsidP="000B6909">
      <w:pPr>
        <w:pStyle w:val="Luettelokappale"/>
        <w:spacing w:after="0"/>
        <w:rPr>
          <w:lang w:eastAsia="fi-FI"/>
        </w:rPr>
      </w:pPr>
    </w:p>
    <w:p w:rsidR="000B6909" w:rsidRDefault="000B6909" w:rsidP="00A16116">
      <w:pPr>
        <w:rPr>
          <w:lang w:eastAsia="fi-FI"/>
        </w:rPr>
      </w:pPr>
      <w:r>
        <w:rPr>
          <w:lang w:eastAsia="fi-FI"/>
        </w:rPr>
        <w:t>Suunnitteluohjeessa on esitetty suunnittelun yleiset linjaukset, kokouskäytännöt, dokumentointivaatimukset, suunnittelualoittain huomioitavat asiat ja ylläpidon sekä operatiivisen toiminnan huomioiminen suunnittelussa.</w:t>
      </w:r>
    </w:p>
    <w:p w:rsidR="00711C23" w:rsidRDefault="00711C23" w:rsidP="00A16116">
      <w:r>
        <w:t>Hankkeen suunnittelu tehdään tietomallintamalla (tarkempi kuvaus liitteessä 5 ”Hankekohtainen suunnitteluohje”).</w:t>
      </w:r>
    </w:p>
    <w:p w:rsidR="009377CE" w:rsidRDefault="009377CE" w:rsidP="00A16116">
      <w:r>
        <w:t>Hankintayksikkö on teettänyt rakennuspaikan pohjatutkimukset (ks. liite 10 ”Pohjatutkimusraportti”). Hankintayksikkö teettää mahdolliset lisätutkimukset tästä hankinnasta erillisenä toimeksiantona puitesopimustoimittajillaan.</w:t>
      </w:r>
    </w:p>
    <w:p w:rsidR="00602861" w:rsidRDefault="00602861" w:rsidP="00A16116">
      <w:pPr>
        <w:rPr>
          <w:lang w:eastAsia="fi-FI"/>
        </w:rPr>
      </w:pPr>
      <w:r>
        <w:rPr>
          <w:lang w:eastAsia="fi-FI"/>
        </w:rPr>
        <w:t>Hankkeen työkieli on suomi ja kaikki suunnitelmat toteutetaan suomenkielisinä</w:t>
      </w:r>
      <w:r w:rsidR="009647CF">
        <w:rPr>
          <w:lang w:eastAsia="fi-FI"/>
        </w:rPr>
        <w:t>, ellei suunnitteluohjeessa ole toisin mainittu</w:t>
      </w:r>
      <w:r>
        <w:rPr>
          <w:lang w:eastAsia="fi-FI"/>
        </w:rPr>
        <w:t xml:space="preserve">. </w:t>
      </w:r>
    </w:p>
    <w:p w:rsidR="00C4561A" w:rsidRDefault="00C4561A" w:rsidP="00C4561A">
      <w:pPr>
        <w:pStyle w:val="Otsikko1"/>
        <w:rPr>
          <w:lang w:eastAsia="fi-FI"/>
        </w:rPr>
      </w:pPr>
      <w:bookmarkStart w:id="2" w:name="_Toc469578984"/>
      <w:r>
        <w:rPr>
          <w:lang w:eastAsia="fi-FI"/>
        </w:rPr>
        <w:t>Hankintamenettely</w:t>
      </w:r>
      <w:bookmarkEnd w:id="2"/>
    </w:p>
    <w:p w:rsidR="00F33891" w:rsidRDefault="00C4561A" w:rsidP="00C4561A">
      <w:r>
        <w:t xml:space="preserve">Hankintamenettelynä käytetään hankintalain </w:t>
      </w:r>
      <w:r w:rsidR="00F33891">
        <w:t>100</w:t>
      </w:r>
      <w:r w:rsidRPr="00C80CF9">
        <w:t xml:space="preserve"> §:</w:t>
      </w:r>
      <w:r w:rsidR="00F33891">
        <w:t>n mukaista kansallista hankintamenettelyä, jonka kulku on seura</w:t>
      </w:r>
      <w:r w:rsidR="0081701F">
        <w:t>a</w:t>
      </w:r>
      <w:r w:rsidR="00F33891">
        <w:t>vanlainen:</w:t>
      </w:r>
    </w:p>
    <w:p w:rsidR="00C4561A" w:rsidRDefault="00F33891" w:rsidP="00F33891">
      <w:pPr>
        <w:pStyle w:val="Luettelokappale"/>
        <w:numPr>
          <w:ilvl w:val="0"/>
          <w:numId w:val="22"/>
        </w:numPr>
      </w:pPr>
      <w:r>
        <w:t>Toimittajat tekevät osallistumishakemukset hankintailmoituksessa kuvattuun määräaikaan mennessä</w:t>
      </w:r>
    </w:p>
    <w:p w:rsidR="00F33891" w:rsidRDefault="00F33891" w:rsidP="00F33891">
      <w:pPr>
        <w:pStyle w:val="Luettelokappale"/>
        <w:numPr>
          <w:ilvl w:val="0"/>
          <w:numId w:val="22"/>
        </w:numPr>
      </w:pPr>
      <w:r>
        <w:t>Hankintayksikkö valitsee 3 osallistumishakemuksen jättänyttä ehdokasta tarjoajiksi kohdassa 4 kuvattujen osallistumisvaatimusten perusteella</w:t>
      </w:r>
    </w:p>
    <w:p w:rsidR="00F33891" w:rsidRDefault="00F33891" w:rsidP="00F33891">
      <w:pPr>
        <w:pStyle w:val="Luettelokappale"/>
        <w:numPr>
          <w:ilvl w:val="0"/>
          <w:numId w:val="22"/>
        </w:numPr>
      </w:pPr>
      <w:r>
        <w:t>Hankintayksikkö pyytää tarjoajiksi valituilta toimittajilta tarjoukset</w:t>
      </w:r>
    </w:p>
    <w:p w:rsidR="00F33891" w:rsidRDefault="00F33891" w:rsidP="00F33891">
      <w:pPr>
        <w:pStyle w:val="Luettelokappale"/>
        <w:numPr>
          <w:ilvl w:val="0"/>
          <w:numId w:val="22"/>
        </w:numPr>
      </w:pPr>
      <w:r>
        <w:t>Hankintayksikkö</w:t>
      </w:r>
    </w:p>
    <w:p w:rsidR="00F33891" w:rsidRDefault="00F33891" w:rsidP="00F33891">
      <w:pPr>
        <w:pStyle w:val="Luettelokappale"/>
        <w:numPr>
          <w:ilvl w:val="1"/>
          <w:numId w:val="22"/>
        </w:numPr>
      </w:pPr>
      <w:r>
        <w:t>Vertailee tarjoukset ja valitsee toimittajan; tai</w:t>
      </w:r>
    </w:p>
    <w:p w:rsidR="00F33891" w:rsidRDefault="00F33891" w:rsidP="00F33891">
      <w:pPr>
        <w:pStyle w:val="Luettelokappale"/>
        <w:numPr>
          <w:ilvl w:val="1"/>
          <w:numId w:val="22"/>
        </w:numPr>
      </w:pPr>
      <w:r>
        <w:t>Hankintayksikkö kutsuu tarjouksen jättäneet toimittajat tarjouspyynnön selonottotilaisuuteen (kesto 1-2h) ja pyytää tilaisuuden jälkeen uudet tarjoukset, jotka se vertailee toimittajan valitsemiseksi</w:t>
      </w:r>
    </w:p>
    <w:p w:rsidR="00C4561A" w:rsidRPr="00C4561A" w:rsidRDefault="00F33891" w:rsidP="00C4561A">
      <w:r>
        <w:t>Hankintayksikkö käyttää option selonottotilaisuuden järjestämiseen, mikäli saadut tarjoukset eivät vastaa hankintayksikön tarvetta ja näin ollen tarjouspyyntö vaatii täydentämistä.</w:t>
      </w:r>
    </w:p>
    <w:p w:rsidR="00515EA0" w:rsidRDefault="00515EA0" w:rsidP="00515EA0">
      <w:pPr>
        <w:pStyle w:val="Otsikko1"/>
        <w:rPr>
          <w:lang w:eastAsia="fi-FI"/>
        </w:rPr>
      </w:pPr>
      <w:bookmarkStart w:id="3" w:name="_Toc469578985"/>
      <w:r>
        <w:rPr>
          <w:lang w:eastAsia="fi-FI"/>
        </w:rPr>
        <w:lastRenderedPageBreak/>
        <w:t>Osallistumisvaatimukset</w:t>
      </w:r>
      <w:bookmarkEnd w:id="3"/>
    </w:p>
    <w:p w:rsidR="00A56E67" w:rsidRDefault="00A56E67" w:rsidP="0038728F">
      <w:pPr>
        <w:rPr>
          <w:lang w:eastAsia="fi-FI"/>
        </w:rPr>
      </w:pPr>
      <w:r w:rsidRPr="00A56E67">
        <w:rPr>
          <w:lang w:eastAsia="fi-FI"/>
        </w:rPr>
        <w:t>Toimittaja suljetaan pois tarjouskilpailusta, jos sitä koskee jokin hankintalain 80 §:n pakollinen poissulkemisperuste. Toimittaja voidaan sulkea pois tarjouskilpailusta, jos sitä koskee jokin hankintalain 81 §:n harkinnanvarainen poissulkemisperuste.</w:t>
      </w:r>
    </w:p>
    <w:p w:rsidR="0038728F" w:rsidRDefault="0038728F" w:rsidP="0038728F">
      <w:pPr>
        <w:rPr>
          <w:lang w:eastAsia="fi-FI"/>
        </w:rPr>
      </w:pPr>
      <w:r>
        <w:rPr>
          <w:lang w:eastAsia="fi-FI"/>
        </w:rPr>
        <w:t xml:space="preserve">Toimittajan tulee täyttää kohdissa </w:t>
      </w:r>
      <w:r w:rsidRPr="00BC6E9B">
        <w:rPr>
          <w:lang w:eastAsia="fi-FI"/>
        </w:rPr>
        <w:t>4.1–4.3</w:t>
      </w:r>
      <w:r>
        <w:rPr>
          <w:lang w:eastAsia="fi-FI"/>
        </w:rPr>
        <w:t xml:space="preserve"> esitetyt toimittajan soveltuvuutt</w:t>
      </w:r>
      <w:r w:rsidR="00C82035">
        <w:rPr>
          <w:lang w:eastAsia="fi-FI"/>
        </w:rPr>
        <w:t>a koskevat vähimmäisvaatimukset.</w:t>
      </w:r>
    </w:p>
    <w:p w:rsidR="001057E7" w:rsidRDefault="001057E7" w:rsidP="0038728F">
      <w:pPr>
        <w:rPr>
          <w:lang w:eastAsia="fi-FI"/>
        </w:rPr>
      </w:pPr>
      <w:r>
        <w:rPr>
          <w:lang w:eastAsia="fi-FI"/>
        </w:rPr>
        <w:t xml:space="preserve">Tarjouksen tekemällä toimittaja antaa vakuutuksen siitä, että se täyttää tässä tarjouspyynnössä esitetyt </w:t>
      </w:r>
      <w:r w:rsidR="00A74CF1">
        <w:rPr>
          <w:lang w:eastAsia="fi-FI"/>
        </w:rPr>
        <w:t>soveltuvuus</w:t>
      </w:r>
      <w:r w:rsidR="00344AFF">
        <w:rPr>
          <w:lang w:eastAsia="fi-FI"/>
        </w:rPr>
        <w:t xml:space="preserve"> ja ettei sitä rasita hankintalain 80 ja 81 §:ssä tarkoitetut poissulkemisperusteet</w:t>
      </w:r>
      <w:r>
        <w:rPr>
          <w:lang w:eastAsia="fi-FI"/>
        </w:rPr>
        <w:t>. Vakuutuskäytäntö on hankintalain 105 § mukainen. Hankintayksikkö voi tarkistaa missä tahansa menettelyn vaiheessa tarjouksen jättäneen tarjoajan soveltuvuusvaatimusten täyttymisen pyytämällä erikseen vaatimuksia koskevat todistukset ja selvitykset.</w:t>
      </w:r>
    </w:p>
    <w:p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§:n tarkoitetuin todistuksin ja selvityksin.</w:t>
      </w:r>
      <w:r>
        <w:rPr>
          <w:lang w:eastAsia="fi-FI"/>
        </w:rPr>
        <w:t xml:space="preserve"> </w:t>
      </w:r>
    </w:p>
    <w:p w:rsidR="00694258" w:rsidRDefault="00802AD5" w:rsidP="00694258">
      <w:pPr>
        <w:pStyle w:val="Otsikko2"/>
        <w:rPr>
          <w:lang w:eastAsia="fi-FI"/>
        </w:rPr>
      </w:pPr>
      <w:r>
        <w:rPr>
          <w:lang w:eastAsia="fi-FI"/>
        </w:rPr>
        <w:t>Oikeus harjoittaa ammatti- ja elinkeinotoimintaa</w:t>
      </w:r>
    </w:p>
    <w:p w:rsidR="00523EE1" w:rsidRDefault="00523EE1" w:rsidP="00523EE1">
      <w:pPr>
        <w:spacing w:after="240"/>
      </w:pPr>
      <w:r>
        <w:t xml:space="preserve">Toimittajalla tulee olla oikeus harjoittaa ammatti- tai elinkeinotoimintaa sijoittumismaassaan. </w:t>
      </w:r>
    </w:p>
    <w:p w:rsidR="00515EA0" w:rsidRDefault="00515EA0" w:rsidP="00515EA0">
      <w:pPr>
        <w:pStyle w:val="Otsikko2"/>
        <w:rPr>
          <w:lang w:eastAsia="fi-FI"/>
        </w:rPr>
      </w:pPr>
      <w:r>
        <w:rPr>
          <w:lang w:eastAsia="fi-FI"/>
        </w:rPr>
        <w:t>Vaatimukset taloudellisesta ja rahoituksellisesta tilanteesta</w:t>
      </w:r>
    </w:p>
    <w:p w:rsidR="00F93047" w:rsidRDefault="00F93047" w:rsidP="00F93047">
      <w:pPr>
        <w:spacing w:after="240"/>
      </w:pPr>
      <w:r>
        <w:t>Toimittajan tulee täyttää seuraavat taloudellista ja rahoituksellista tilannetta koskevat vaatimukset:</w:t>
      </w:r>
    </w:p>
    <w:p w:rsidR="00F93047" w:rsidRDefault="00F93047" w:rsidP="00F93047">
      <w:pPr>
        <w:pStyle w:val="Luettelokappale"/>
        <w:numPr>
          <w:ilvl w:val="0"/>
          <w:numId w:val="20"/>
        </w:numPr>
        <w:spacing w:after="240"/>
      </w:pPr>
      <w:r>
        <w:t>Toimittajalla tulee olla voimassa</w:t>
      </w:r>
      <w:r w:rsidR="00951406">
        <w:t xml:space="preserve"> </w:t>
      </w:r>
      <w:r>
        <w:t>oleva konsulttivastuuvakuutus, joka kattaa vähintään toimeksiannon palkkion KSE 2013 kohdan 3.2.3 mukaisesti</w:t>
      </w:r>
    </w:p>
    <w:p w:rsidR="00515EA0" w:rsidRDefault="00515EA0" w:rsidP="00515EA0">
      <w:pPr>
        <w:pStyle w:val="Otsikko2"/>
        <w:rPr>
          <w:lang w:eastAsia="fi-FI"/>
        </w:rPr>
      </w:pPr>
      <w:r>
        <w:rPr>
          <w:lang w:eastAsia="fi-FI"/>
        </w:rPr>
        <w:t xml:space="preserve">Vaatimukset tekniselle </w:t>
      </w:r>
      <w:r w:rsidR="00530E69">
        <w:rPr>
          <w:lang w:eastAsia="fi-FI"/>
        </w:rPr>
        <w:t xml:space="preserve">suorituskyvylle </w:t>
      </w:r>
      <w:r>
        <w:rPr>
          <w:lang w:eastAsia="fi-FI"/>
        </w:rPr>
        <w:t>ja ammatilliselle pätevyydelle</w:t>
      </w:r>
    </w:p>
    <w:p w:rsidR="00F93047" w:rsidRPr="003F023D" w:rsidRDefault="00F93047" w:rsidP="00F93047">
      <w:pPr>
        <w:spacing w:after="240"/>
      </w:pPr>
      <w:r w:rsidRPr="003F023D">
        <w:t>Toimittajan tulee täyttää seuraavat teknistä suorituskykyä ja ammatillista pätevyyttä koskevat vaatimukset:</w:t>
      </w:r>
    </w:p>
    <w:p w:rsidR="003F023D" w:rsidRDefault="00CA4E32" w:rsidP="003F023D">
      <w:pPr>
        <w:pStyle w:val="Luettelokappale"/>
        <w:numPr>
          <w:ilvl w:val="0"/>
          <w:numId w:val="19"/>
        </w:numPr>
        <w:rPr>
          <w:lang w:eastAsia="fi-FI"/>
        </w:rPr>
      </w:pPr>
      <w:r w:rsidRPr="003F023D">
        <w:rPr>
          <w:lang w:eastAsia="fi-FI"/>
        </w:rPr>
        <w:t xml:space="preserve">Tarjoavalla yrityksellä tai ryhmittymällä tulee olla vähintään </w:t>
      </w:r>
      <w:r w:rsidR="00072E71">
        <w:rPr>
          <w:lang w:eastAsia="fi-FI"/>
        </w:rPr>
        <w:t>x</w:t>
      </w:r>
      <w:r w:rsidRPr="003F023D">
        <w:rPr>
          <w:lang w:eastAsia="fi-FI"/>
        </w:rPr>
        <w:t xml:space="preserve"> kpl saman toimialan ja vähintään saman suuruusluokan referenssiä viimeisen </w:t>
      </w:r>
      <w:r w:rsidR="00072E71">
        <w:rPr>
          <w:lang w:eastAsia="fi-FI"/>
        </w:rPr>
        <w:t>x</w:t>
      </w:r>
      <w:r w:rsidRPr="003F023D">
        <w:rPr>
          <w:lang w:eastAsia="fi-FI"/>
        </w:rPr>
        <w:t xml:space="preserve"> vuoden ajalta. </w:t>
      </w:r>
      <w:r w:rsidR="008235AF">
        <w:rPr>
          <w:color w:val="538135" w:themeColor="accent6" w:themeShade="BF"/>
          <w:lang w:eastAsia="fi-FI"/>
        </w:rPr>
        <w:t>(Kansallisissa hankinnoissa referenssejä voidaan pyytää hankintayksikön määrittämältä ajalta; vrt. EU-hankinnat, joissa yleisissä tilanteissa rajana on 3 vuotta)</w:t>
      </w:r>
    </w:p>
    <w:p w:rsidR="003F023D" w:rsidRPr="003F023D" w:rsidRDefault="00A029E9" w:rsidP="003F023D">
      <w:pPr>
        <w:pStyle w:val="Luettelokappale"/>
        <w:numPr>
          <w:ilvl w:val="1"/>
          <w:numId w:val="19"/>
        </w:numPr>
        <w:rPr>
          <w:lang w:eastAsia="fi-FI"/>
        </w:rPr>
      </w:pPr>
      <w:r w:rsidRPr="003F023D">
        <w:rPr>
          <w:lang w:eastAsia="fi-FI"/>
        </w:rPr>
        <w:t xml:space="preserve">Saman toimialan ja vähintään saman suurusluokan referenssiksi katsotaan </w:t>
      </w:r>
      <w:r w:rsidR="003F023D" w:rsidRPr="003F023D">
        <w:rPr>
          <w:lang w:eastAsia="fi-FI"/>
        </w:rPr>
        <w:t>pohjarakennesuunnitt</w:t>
      </w:r>
      <w:r w:rsidR="003F023D">
        <w:rPr>
          <w:lang w:eastAsia="fi-FI"/>
        </w:rPr>
        <w:t xml:space="preserve">elu toimeksiannot vähintään </w:t>
      </w:r>
      <w:r w:rsidR="002717CE">
        <w:rPr>
          <w:lang w:eastAsia="fi-FI"/>
        </w:rPr>
        <w:t>x</w:t>
      </w:r>
      <w:r w:rsidR="003F023D" w:rsidRPr="003F023D">
        <w:rPr>
          <w:lang w:eastAsia="fi-FI"/>
        </w:rPr>
        <w:t xml:space="preserve"> brm2 kohteissa, joiden MRA:n mukainen</w:t>
      </w:r>
      <w:r w:rsidR="003F023D">
        <w:rPr>
          <w:lang w:eastAsia="fi-FI"/>
        </w:rPr>
        <w:t xml:space="preserve"> </w:t>
      </w:r>
      <w:r w:rsidR="00FF7684">
        <w:rPr>
          <w:lang w:eastAsia="fi-FI"/>
        </w:rPr>
        <w:t xml:space="preserve">vaativuusluokka on ollut </w:t>
      </w:r>
      <w:r w:rsidR="003F023D">
        <w:rPr>
          <w:lang w:eastAsia="fi-FI"/>
        </w:rPr>
        <w:t>pohjarakenteiden suunnittelu</w:t>
      </w:r>
      <w:r w:rsidR="00FF7684">
        <w:rPr>
          <w:lang w:eastAsia="fi-FI"/>
        </w:rPr>
        <w:t>ssa vaativa</w:t>
      </w:r>
    </w:p>
    <w:p w:rsidR="00F93047" w:rsidRDefault="003F023D" w:rsidP="003F023D">
      <w:pPr>
        <w:rPr>
          <w:lang w:eastAsia="fi-FI"/>
        </w:rPr>
      </w:pPr>
      <w:r w:rsidRPr="003F023D">
        <w:rPr>
          <w:lang w:eastAsia="fi-FI"/>
        </w:rPr>
        <w:lastRenderedPageBreak/>
        <w:t>R</w:t>
      </w:r>
      <w:r w:rsidR="00F93047" w:rsidRPr="003F023D">
        <w:rPr>
          <w:lang w:eastAsia="fi-FI"/>
        </w:rPr>
        <w:t>eferenssin voimassaoloajan katsotaan alkavan viimeistään takuuajan päättymisestä.</w:t>
      </w:r>
      <w:r w:rsidR="008235AF">
        <w:rPr>
          <w:lang w:eastAsia="fi-FI"/>
        </w:rPr>
        <w:t xml:space="preserve"> </w:t>
      </w:r>
      <w:r w:rsidR="008235AF" w:rsidRPr="00E12BA2">
        <w:rPr>
          <w:color w:val="538135" w:themeColor="accent6" w:themeShade="BF"/>
          <w:lang w:eastAsia="fi-FI"/>
        </w:rPr>
        <w:t>(Hankintayksikkö voi määrittää myös muun ajankohdan, jolloin referenssin voimassaoloajan katsotaan alkavan)</w:t>
      </w:r>
    </w:p>
    <w:p w:rsidR="003239C3" w:rsidRDefault="00AC7848" w:rsidP="00515EA0">
      <w:pPr>
        <w:rPr>
          <w:lang w:eastAsia="fi-FI"/>
        </w:rPr>
      </w:pPr>
      <w:r>
        <w:rPr>
          <w:lang w:eastAsia="fi-FI"/>
        </w:rPr>
        <w:t xml:space="preserve">Suunnittelun nimetyllä vastuuhenkilöllä tulee olla MRA:n mukaiset edellytykset </w:t>
      </w:r>
      <w:r w:rsidRPr="00A62A14">
        <w:rPr>
          <w:lang w:eastAsia="fi-FI"/>
        </w:rPr>
        <w:t>toimia vaativan</w:t>
      </w:r>
      <w:r>
        <w:rPr>
          <w:lang w:eastAsia="fi-FI"/>
        </w:rPr>
        <w:t xml:space="preserve"> kohteen </w:t>
      </w:r>
      <w:r w:rsidR="00C72499">
        <w:rPr>
          <w:lang w:eastAsia="fi-FI"/>
        </w:rPr>
        <w:t>pohjarakenteiden</w:t>
      </w:r>
      <w:r>
        <w:rPr>
          <w:lang w:eastAsia="fi-FI"/>
        </w:rPr>
        <w:t xml:space="preserve"> suunnittelijana.</w:t>
      </w:r>
      <w:r w:rsidR="003D4363">
        <w:rPr>
          <w:lang w:eastAsia="fi-FI"/>
        </w:rPr>
        <w:t xml:space="preserve"> Nimetyllä projektisuunnittelijalla tulee olla MRA:n mukaiset edellytykset toimia tavanomaisen kohteen pohjarakenteiden suunnittelijana.</w:t>
      </w:r>
      <w:r>
        <w:rPr>
          <w:lang w:eastAsia="fi-FI"/>
        </w:rPr>
        <w:t xml:space="preserve"> Vaatimukset on yksilöity Ympäristöministeriön ohjeessa YM2/601/2015.</w:t>
      </w:r>
    </w:p>
    <w:p w:rsidR="00515EA0" w:rsidRDefault="00A029E9" w:rsidP="00515EA0">
      <w:pPr>
        <w:pStyle w:val="Otsikko2"/>
        <w:rPr>
          <w:lang w:eastAsia="fi-FI"/>
        </w:rPr>
      </w:pPr>
      <w:r>
        <w:rPr>
          <w:lang w:eastAsia="fi-FI"/>
        </w:rPr>
        <w:t>Vähimmäisvaatimukset täyttävien ehdokkaiden valinta</w:t>
      </w:r>
    </w:p>
    <w:p w:rsidR="00A029E9" w:rsidRPr="009549E2" w:rsidRDefault="00A029E9" w:rsidP="00A029E9">
      <w:pPr>
        <w:rPr>
          <w:lang w:eastAsia="fi-FI"/>
        </w:rPr>
      </w:pPr>
      <w:r w:rsidRPr="009549E2">
        <w:rPr>
          <w:lang w:eastAsia="fi-FI"/>
        </w:rPr>
        <w:t>Jos vähimmäisvaatimukset täyttäviä ehdokkaita on enemmän kuin hankintailmoituksessa esitetty enimmäismäärä</w:t>
      </w:r>
      <w:r w:rsidR="009549E2" w:rsidRPr="009549E2">
        <w:rPr>
          <w:lang w:eastAsia="fi-FI"/>
        </w:rPr>
        <w:t xml:space="preserve"> (3)</w:t>
      </w:r>
      <w:r w:rsidRPr="009549E2">
        <w:rPr>
          <w:lang w:eastAsia="fi-FI"/>
        </w:rPr>
        <w:t>, valitaan tarjoajaksi hyväksyttävät ehdokkaat seuraavin perustein:</w:t>
      </w:r>
    </w:p>
    <w:p w:rsidR="00A029E9" w:rsidRDefault="009549E2" w:rsidP="00AB4848">
      <w:pPr>
        <w:pStyle w:val="Luettelokappale"/>
        <w:numPr>
          <w:ilvl w:val="0"/>
          <w:numId w:val="17"/>
        </w:numPr>
        <w:rPr>
          <w:lang w:eastAsia="fi-FI"/>
        </w:rPr>
      </w:pPr>
      <w:r>
        <w:rPr>
          <w:lang w:eastAsia="fi-FI"/>
        </w:rPr>
        <w:t xml:space="preserve">Hankintayksikkö arvioi vähimmäisvaatimukset täyttävien toimittajien referenssien vastaavuutta </w:t>
      </w:r>
      <w:r w:rsidR="00E35913">
        <w:rPr>
          <w:lang w:eastAsia="fi-FI"/>
        </w:rPr>
        <w:t xml:space="preserve">toimeksiannon kohteeseen </w:t>
      </w:r>
      <w:r>
        <w:rPr>
          <w:lang w:eastAsia="fi-FI"/>
        </w:rPr>
        <w:t xml:space="preserve">toimittajien </w:t>
      </w:r>
      <w:r w:rsidR="0080749C">
        <w:rPr>
          <w:lang w:eastAsia="fi-FI"/>
        </w:rPr>
        <w:t>esittämän</w:t>
      </w:r>
      <w:r>
        <w:rPr>
          <w:lang w:eastAsia="fi-FI"/>
        </w:rPr>
        <w:t xml:space="preserve"> listauksen perusteella</w:t>
      </w:r>
      <w:r w:rsidR="00473ED4">
        <w:rPr>
          <w:lang w:eastAsia="fi-FI"/>
        </w:rPr>
        <w:t xml:space="preserve"> (ks. kohta 5.2)</w:t>
      </w:r>
    </w:p>
    <w:p w:rsidR="0080749C" w:rsidRDefault="00251DBB" w:rsidP="0080749C">
      <w:pPr>
        <w:pStyle w:val="Luettelokappale"/>
        <w:numPr>
          <w:ilvl w:val="1"/>
          <w:numId w:val="17"/>
        </w:numPr>
        <w:rPr>
          <w:lang w:eastAsia="fi-FI"/>
        </w:rPr>
      </w:pPr>
      <w:r>
        <w:rPr>
          <w:lang w:eastAsia="fi-FI"/>
        </w:rPr>
        <w:t xml:space="preserve">Kolmelta </w:t>
      </w:r>
      <w:r w:rsidR="00B46E95">
        <w:rPr>
          <w:lang w:eastAsia="fi-FI"/>
        </w:rPr>
        <w:t>parhaaksi</w:t>
      </w:r>
      <w:r>
        <w:rPr>
          <w:lang w:eastAsia="fi-FI"/>
        </w:rPr>
        <w:t xml:space="preserve"> arvioidulta toimittajalta pyydetään tarjous</w:t>
      </w:r>
    </w:p>
    <w:p w:rsidR="00195F25" w:rsidRPr="00195F25" w:rsidRDefault="00195F25" w:rsidP="00195F25">
      <w:pPr>
        <w:rPr>
          <w:color w:val="538135" w:themeColor="accent6" w:themeShade="BF"/>
          <w:lang w:eastAsia="fi-FI"/>
        </w:rPr>
      </w:pPr>
      <w:r w:rsidRPr="00A812D8">
        <w:rPr>
          <w:color w:val="538135" w:themeColor="accent6" w:themeShade="BF"/>
          <w:lang w:eastAsia="fi-FI"/>
        </w:rPr>
        <w:t>(Vähimmäisvaatimukset täyttävien ehdokkaiden valinnassa tulee käyttää vähimmäisvaatimuksista poikkeavia tai ne ylittäviä vertailuperusteita)</w:t>
      </w:r>
    </w:p>
    <w:p w:rsidR="005524C1" w:rsidRDefault="005524C1" w:rsidP="005524C1">
      <w:pPr>
        <w:pStyle w:val="Otsikko1"/>
      </w:pPr>
      <w:bookmarkStart w:id="4" w:name="_Toc469578986"/>
      <w:r>
        <w:t>Tarjouksen sisältö ja jättäminen</w:t>
      </w:r>
      <w:bookmarkEnd w:id="4"/>
    </w:p>
    <w:p w:rsidR="005524C1" w:rsidRDefault="005524C1" w:rsidP="005524C1">
      <w:pPr>
        <w:pStyle w:val="Otsikko2"/>
      </w:pPr>
      <w:r>
        <w:t>Tarjouksen sisältöohje</w:t>
      </w:r>
    </w:p>
    <w:p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2D6C3D">
        <w:t xml:space="preserve">hankintayksikön </w:t>
      </w:r>
      <w:r w:rsidR="00636671">
        <w:t>kilpailutusjärjestelmässä</w:t>
      </w:r>
      <w:r>
        <w:t xml:space="preserve"> 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w:t>
      </w:r>
      <w:r w:rsidR="00BD5E5F">
        <w:t>kilpailutusjärjestelmän</w:t>
      </w:r>
      <w:r w:rsidR="002D6C3D">
        <w:t xml:space="preserve"> 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rsidR="007C2D62" w:rsidRDefault="00002ACD" w:rsidP="007C2D62">
      <w:r w:rsidRPr="000F38E2">
        <w:t>Osatarjouksia tai vaihtoehtoisia tarjouksia ei hyväksytä.</w:t>
      </w:r>
      <w:r w:rsidR="007C2D62" w:rsidRPr="007C2D62">
        <w:t xml:space="preserve"> </w:t>
      </w:r>
      <w:r w:rsidR="00501D45" w:rsidRPr="00501D45">
        <w:rPr>
          <w:color w:val="538135" w:themeColor="accent6" w:themeShade="BF"/>
        </w:rPr>
        <w:t>(Hankintayksikkö voi esittää myös hyväksyvänsä vaihtoehtoiset tarjoukset ja/tai osatarjoukset. Osatarjoukset hyväksyttäessä hankintayksikön tulee esittää, kuinka hankinta on jaettu osiin.)</w:t>
      </w:r>
    </w:p>
    <w:p w:rsidR="00002ACD" w:rsidRDefault="00002ACD" w:rsidP="00002ACD">
      <w:r>
        <w:t xml:space="preserve">Tarjouksen tulee olla voimassa vähintään </w:t>
      </w:r>
      <w:r w:rsidR="003D4363">
        <w:t>x</w:t>
      </w:r>
      <w:r>
        <w:t xml:space="preserve"> kuukautta tarjousten jättämisen määräajan umpeutumisesta.</w:t>
      </w:r>
    </w:p>
    <w:p w:rsidR="00AD0CD0" w:rsidRDefault="00AD0CD0" w:rsidP="00AD0CD0">
      <w:pPr>
        <w:pStyle w:val="Otsikko2"/>
      </w:pPr>
      <w:r>
        <w:t>Tarjoukse</w:t>
      </w:r>
      <w:r w:rsidR="00AA1942">
        <w:t>e</w:t>
      </w:r>
      <w:r>
        <w:t>n</w:t>
      </w:r>
      <w:r w:rsidR="00AA1942">
        <w:t xml:space="preserve"> laadittavat</w:t>
      </w:r>
      <w:r>
        <w:t xml:space="preserve"> liitteet</w:t>
      </w:r>
    </w:p>
    <w:p w:rsidR="00AD0CD0" w:rsidRDefault="007F2648" w:rsidP="00AD0CD0">
      <w:r>
        <w:t>Tarjoukseen liitettäväksi tulee laatia</w:t>
      </w:r>
      <w:r w:rsidR="00AD0CD0">
        <w:t>:</w:t>
      </w:r>
    </w:p>
    <w:p w:rsidR="00CE699B" w:rsidRDefault="00AD0CD0" w:rsidP="00CE699B">
      <w:pPr>
        <w:pStyle w:val="Luettelokappale"/>
        <w:numPr>
          <w:ilvl w:val="0"/>
          <w:numId w:val="11"/>
        </w:numPr>
      </w:pPr>
      <w:r>
        <w:lastRenderedPageBreak/>
        <w:t>Projektisuunnitelma, joka sisältää esityksen</w:t>
      </w:r>
      <w:r w:rsidR="0062382F">
        <w:t xml:space="preserve"> yleisestä projektisuunnitelmasta,</w:t>
      </w:r>
      <w:r>
        <w:t xml:space="preserve"> tunnistetuista riskeistä </w:t>
      </w:r>
      <w:r w:rsidR="0047746B">
        <w:t>ja varmistavista toimenpiteistä sekä</w:t>
      </w:r>
      <w:r>
        <w:t xml:space="preserve"> sisäisestä laadunvarmistuksesta </w:t>
      </w:r>
    </w:p>
    <w:p w:rsidR="006D028B" w:rsidRDefault="006D028B" w:rsidP="006D028B">
      <w:pPr>
        <w:pStyle w:val="Luettelokappale"/>
        <w:numPr>
          <w:ilvl w:val="1"/>
          <w:numId w:val="11"/>
        </w:numPr>
      </w:pPr>
      <w:r>
        <w:t>Projektisuunnitel</w:t>
      </w:r>
      <w:r w:rsidR="0047746B">
        <w:t xml:space="preserve">man enimmäispituus on </w:t>
      </w:r>
      <w:r w:rsidR="003D4363">
        <w:t>x</w:t>
      </w:r>
      <w:r w:rsidR="007C2D62">
        <w:t xml:space="preserve"> sivua (f</w:t>
      </w:r>
      <w:r>
        <w:t>ontti Arial, fonttikoko 12 pt.)</w:t>
      </w:r>
    </w:p>
    <w:p w:rsidR="006D028B" w:rsidRDefault="006D028B" w:rsidP="006D028B">
      <w:pPr>
        <w:pStyle w:val="Luettelokappale"/>
        <w:numPr>
          <w:ilvl w:val="1"/>
          <w:numId w:val="11"/>
        </w:numPr>
      </w:pPr>
      <w:r>
        <w:t xml:space="preserve">Mikäli tarjoajan esittämä projektisuunnitelma pituus on yli </w:t>
      </w:r>
      <w:r w:rsidR="003D4363">
        <w:t>x</w:t>
      </w:r>
      <w:r>
        <w:t xml:space="preserve"> sivua, vain pr</w:t>
      </w:r>
      <w:r w:rsidR="0047746B">
        <w:t xml:space="preserve">ojektisuunnitelman ensimmäiset </w:t>
      </w:r>
      <w:r w:rsidR="003D4363">
        <w:t>x</w:t>
      </w:r>
      <w:r>
        <w:t xml:space="preserve"> sivua huomioidaan </w:t>
      </w:r>
      <w:r w:rsidR="00DF7FCD">
        <w:t xml:space="preserve">tarjouksen </w:t>
      </w:r>
      <w:r>
        <w:t>arvioinnissa</w:t>
      </w:r>
    </w:p>
    <w:p w:rsidR="00913627" w:rsidRDefault="00913627" w:rsidP="00913627">
      <w:pPr>
        <w:pStyle w:val="Luettelokappale"/>
        <w:numPr>
          <w:ilvl w:val="0"/>
          <w:numId w:val="11"/>
        </w:numPr>
      </w:pPr>
      <w:r>
        <w:t xml:space="preserve">Listaus enintään </w:t>
      </w:r>
      <w:r w:rsidR="00AA7554">
        <w:t>viidestä</w:t>
      </w:r>
      <w:r>
        <w:t xml:space="preserve"> toimittajan toimeksiannosta viimeisen 10 vuoden ajalta, jotka vastaavat parhaiten geoteknisen suunnittelun näkökulmasta hankinnan kohdetta</w:t>
      </w:r>
    </w:p>
    <w:p w:rsidR="00AA7554" w:rsidRDefault="00913627" w:rsidP="00AA7554">
      <w:pPr>
        <w:pStyle w:val="Luettelokappale"/>
        <w:numPr>
          <w:ilvl w:val="1"/>
          <w:numId w:val="11"/>
        </w:numPr>
      </w:pPr>
      <w:r>
        <w:t>Listauksessa esitetään toimeksiannon tilaaja, kohteen lyhyt esittely sisältäen laajuustiedot ja lyhyt kuvaus pohjasuhteista</w:t>
      </w:r>
    </w:p>
    <w:p w:rsidR="007F2648" w:rsidRDefault="007F2648" w:rsidP="007F2648">
      <w:r>
        <w:t xml:space="preserve">Luettelo muista tarjoukseen liitettävistä asiakirjoista on esitetty liitteessä </w:t>
      </w:r>
      <w:r w:rsidR="00652468">
        <w:t>7</w:t>
      </w:r>
      <w:r>
        <w:t>.</w:t>
      </w:r>
    </w:p>
    <w:p w:rsidR="00FF5893" w:rsidRDefault="00FF5893" w:rsidP="00FF5893">
      <w:pPr>
        <w:pStyle w:val="Otsikko2"/>
      </w:pPr>
      <w:r>
        <w:t>Tarjouksessa nimettävät henkilöt</w:t>
      </w:r>
    </w:p>
    <w:p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rsidR="00CD55D5" w:rsidRDefault="00CD55D5" w:rsidP="00CD55D5">
      <w:r>
        <w:t>Tarjouksessa tulee nimetä seuraavat toimeksiannon suorittamiseen osallistuvat henkilöt:</w:t>
      </w:r>
    </w:p>
    <w:p w:rsidR="00CD55D5" w:rsidRDefault="00CD55D5" w:rsidP="00CD55D5">
      <w:pPr>
        <w:pStyle w:val="Luettelokappale"/>
        <w:numPr>
          <w:ilvl w:val="0"/>
          <w:numId w:val="10"/>
        </w:numPr>
      </w:pPr>
      <w:r>
        <w:t xml:space="preserve">vastuullinen suunnittelija; ja </w:t>
      </w:r>
    </w:p>
    <w:p w:rsidR="00CD55D5" w:rsidRDefault="00CD55D5" w:rsidP="00CD55D5">
      <w:pPr>
        <w:pStyle w:val="Luettelokappale"/>
        <w:numPr>
          <w:ilvl w:val="0"/>
          <w:numId w:val="10"/>
        </w:numPr>
      </w:pPr>
      <w:r>
        <w:t xml:space="preserve">projektisuunnittelija </w:t>
      </w:r>
    </w:p>
    <w:p w:rsidR="00CD55D5" w:rsidRDefault="00CD55D5" w:rsidP="00CD55D5">
      <w:r>
        <w:t xml:space="preserve">Vastuullisen suunnittelijan tulee projektisuunnittelijan ohella osallistua hankkeen suunnittelutyöhön koko suunnittelu- ja rakennusvaiheen ajan. Tarjoajan tulee nimetä projektipäälliköksi, joko vastuullinen suunnittelija tai projektisuunnittelija. </w:t>
      </w:r>
      <w:r w:rsidR="00CD543A">
        <w:t>Nimettyjä</w:t>
      </w:r>
      <w:r w:rsidRPr="001234CA">
        <w:t xml:space="preserve"> henkilöitä ei saa vaihtaa toimeksiannon aikana ilman </w:t>
      </w:r>
      <w:r>
        <w:t>hankintayksikön</w:t>
      </w:r>
      <w:r w:rsidRPr="001234CA">
        <w:t xml:space="preserve"> kirjallista suostumusta.</w:t>
      </w:r>
    </w:p>
    <w:p w:rsidR="00CD543A" w:rsidRDefault="00CD543A" w:rsidP="00CD543A">
      <w:r>
        <w:t>Seuraaville tarjouksessa nimetyille henkilöille tulee esittää varahenkilöt:</w:t>
      </w:r>
    </w:p>
    <w:p w:rsidR="00CD543A" w:rsidRDefault="00E0208C" w:rsidP="00CD543A">
      <w:pPr>
        <w:pStyle w:val="Luettelokappale"/>
        <w:numPr>
          <w:ilvl w:val="0"/>
          <w:numId w:val="18"/>
        </w:numPr>
      </w:pPr>
      <w:r>
        <w:t>vastuullinen suunnittelija; ja</w:t>
      </w:r>
    </w:p>
    <w:p w:rsidR="00E0208C" w:rsidRDefault="00E0208C" w:rsidP="00CD543A">
      <w:pPr>
        <w:pStyle w:val="Luettelokappale"/>
        <w:numPr>
          <w:ilvl w:val="0"/>
          <w:numId w:val="18"/>
        </w:numPr>
      </w:pPr>
      <w:r>
        <w:t>projektisuunnittelija</w:t>
      </w:r>
    </w:p>
    <w:p w:rsidR="00CD543A" w:rsidRDefault="00CD543A" w:rsidP="00CD543A">
      <w:r>
        <w:t xml:space="preserve">Kuhunkin tehtävään esitetty varahenkilö on ensisijainen korvaava henkilö nimettyä henkilöä vaihdettaessa. Esitettävän varahenkilön tulee täyttää samat vähimmäisvaatimukset, jotka on esitetty henkilölle, jota varahenkilö tarvittaessa korvaa. Jos nimettyyn henkilöön liittyviä ominaisuuksia käytetään tarjousten arviointiperusteena, tulee varahenkilön olla liitteen 6 ”Arviointiperusteet” mukaisesti arvioitaessa vähintään samaa tasoa. Varahenkilön ei tarvitse olla osa esitettyä projektihenkilöstöä. Nimettyä henkilöä ei saa korvata varahenkilöllä toimeksiannon aikana ilman </w:t>
      </w:r>
      <w:r w:rsidR="0045491F">
        <w:t>hankintayksikön</w:t>
      </w:r>
      <w:r>
        <w:t xml:space="preserve"> kirjallista suostumusta.</w:t>
      </w:r>
    </w:p>
    <w:p w:rsidR="00CD543A" w:rsidRDefault="00CD543A" w:rsidP="00CD543A">
      <w:r>
        <w:t>Nimettyjen henkilöiden osalta arviointia varten toimitettavat asi</w:t>
      </w:r>
      <w:r w:rsidR="00582396">
        <w:t>akirjat on esitetty liitteessä 7</w:t>
      </w:r>
      <w:r>
        <w:t>.</w:t>
      </w:r>
    </w:p>
    <w:p w:rsidR="008D2A5E" w:rsidRDefault="008D2A5E" w:rsidP="008D2A5E">
      <w:pPr>
        <w:pStyle w:val="Otsikko2"/>
      </w:pPr>
      <w:r>
        <w:lastRenderedPageBreak/>
        <w:t>Tarjousten julkisuus</w:t>
      </w:r>
    </w:p>
    <w:p w:rsidR="0061519D" w:rsidRDefault="0061519D" w:rsidP="0061519D">
      <w:r>
        <w:t>Hankintayksikön asiakirjojen julkisuuteen ja asianosaisten tiedonsaantioikeuteen sovelletaan viranomaisten julkisuudesta annettua lakia (621/1999).</w:t>
      </w:r>
    </w:p>
    <w:p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4D189F">
        <w:t>Hankintayksikkö</w:t>
      </w:r>
      <w:r w:rsidRPr="000F38E2">
        <w:t xml:space="preserve"> harkitsee, ovatko liikesalaisuuksiksi esitetyt asiat lain mukaan salassa pidettäviä.</w:t>
      </w:r>
      <w:r>
        <w:t xml:space="preserve"> </w:t>
      </w:r>
      <w:r w:rsidR="00742A01" w:rsidRPr="00742A01">
        <w:t>Julkisuuslain mukaisesti tieto tarjouksen vertailusta käytetystä kokonaishinnasta ei ole liikesalaisuutena pidettävä asia.</w:t>
      </w:r>
    </w:p>
    <w:p w:rsidR="00A71ED8" w:rsidRDefault="00A71ED8" w:rsidP="00A71ED8">
      <w:pPr>
        <w:pStyle w:val="Otsikko2"/>
      </w:pPr>
      <w:r>
        <w:t>Alikonsulttien käyttäminen</w:t>
      </w:r>
    </w:p>
    <w:p w:rsidR="003B0C9B" w:rsidRPr="00195C6F" w:rsidRDefault="003B0C9B" w:rsidP="00195C6F">
      <w:pPr>
        <w:rPr>
          <w:lang w:eastAsia="fi-FI"/>
        </w:rPr>
      </w:pPr>
      <w:r>
        <w:t xml:space="preserve">Hankintasopimuksen toteuttamisessa on mahdollista käyttää alikonsultteja, jotka täydentävät toimittajan omia resursseja. </w:t>
      </w:r>
      <w:r w:rsidR="00195C6F">
        <w:t xml:space="preserve">Liitteessä 5 </w:t>
      </w:r>
      <w:r w:rsidR="00195C6F">
        <w:rPr>
          <w:lang w:eastAsia="fi-FI"/>
        </w:rPr>
        <w:t>”</w:t>
      </w:r>
      <w:r w:rsidR="006054EE">
        <w:rPr>
          <w:lang w:eastAsia="fi-FI"/>
        </w:rPr>
        <w:t>Geoteknisen suunnittelun tehtäväluettelo GEO</w:t>
      </w:r>
      <w:r w:rsidR="00195C6F">
        <w:rPr>
          <w:lang w:eastAsia="fi-FI"/>
        </w:rPr>
        <w:t xml:space="preserve">12 (rajauksin ja merkittyine lisätehtävineen)” on merkitty ne tehtävät, jotka toimittajan on hoidettava omin resurssein ja joita ei voida siirtää alihankintana toisaalle. </w:t>
      </w:r>
    </w:p>
    <w:p w:rsidR="003B0C9B" w:rsidRDefault="003B0C9B" w:rsidP="003B0C9B">
      <w:r>
        <w:t>Käytettävät alikonsultit tulee hyväksyttää ennen</w:t>
      </w:r>
      <w:r w:rsidRPr="00C11907">
        <w:t xml:space="preserve"> alikonsultin työn alkamista. </w:t>
      </w:r>
      <w:r>
        <w:t xml:space="preserve">Alihankkijoiden ilmoittaminen ei rajoita pääasiallisen tarjoajan vastuuta hankinnan toteuttamisesta. </w:t>
      </w:r>
    </w:p>
    <w:p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rsidR="003B0C9B" w:rsidRPr="00CF7A7E" w:rsidRDefault="003B0C9B" w:rsidP="003B0C9B">
      <w:pPr>
        <w:rPr>
          <w:color w:val="ED7D31" w:themeColor="accent2"/>
        </w:rPr>
      </w:pPr>
      <w:r w:rsidRPr="00D55785">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rsidR="003D20A2" w:rsidRDefault="003D20A2" w:rsidP="003D20A2">
      <w:pPr>
        <w:pStyle w:val="Otsikko2"/>
      </w:pPr>
      <w:r>
        <w:t>Tarjouksen jättäminen</w:t>
      </w:r>
    </w:p>
    <w:p w:rsidR="0015272A" w:rsidRDefault="0015272A" w:rsidP="0015272A">
      <w:r>
        <w:t xml:space="preserve">Tarjous </w:t>
      </w:r>
      <w:r w:rsidR="008E3420">
        <w:t xml:space="preserve">tulee jättää hankintayksikön sähköisessä </w:t>
      </w:r>
      <w:r w:rsidR="00254508">
        <w:t>kilpailutusjärjestelmässä</w:t>
      </w:r>
      <w:r w:rsidR="008E3420">
        <w:t xml:space="preserve"> osoitteessa www.kuntalankilpailuttamisportaali.fi pp.kk.vvvv klo hh:mm mennessä. Tarjous jätetään </w:t>
      </w:r>
      <w:r w:rsidR="00254508">
        <w:t>kilpailutusjärjestelmässä</w:t>
      </w:r>
      <w:r w:rsidR="008E3420">
        <w:t xml:space="preserve"> lomakepohjaisesti ja pyydetyin liiteasiakirjoin. </w:t>
      </w:r>
      <w:r w:rsidR="008668A1">
        <w:t>Tarjousten jättäminen ei ole mahdollista tarjousajan päättymisen jälkeen.</w:t>
      </w:r>
    </w:p>
    <w:p w:rsidR="008933F4" w:rsidRPr="008933F4"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rsidR="00090E0F" w:rsidRDefault="00090E0F" w:rsidP="00090E0F">
      <w:pPr>
        <w:pStyle w:val="Otsikko1"/>
      </w:pPr>
      <w:bookmarkStart w:id="5" w:name="_Toc469578987"/>
      <w:r>
        <w:t>Tarjousten käsittely</w:t>
      </w:r>
      <w:bookmarkEnd w:id="5"/>
    </w:p>
    <w:p w:rsidR="00090E0F" w:rsidRDefault="00090E0F" w:rsidP="00090E0F">
      <w:r>
        <w:t>Tarjousajan päätyttyä hankintayksikkö käsittelee saapuneet tarjoukset dokumentoidusti. Tarjousten käsittely sisältää seuraavat vaiheet:</w:t>
      </w:r>
    </w:p>
    <w:p w:rsidR="00090E0F" w:rsidRDefault="00090E0F" w:rsidP="00090E0F">
      <w:pPr>
        <w:pStyle w:val="Luettelokappale"/>
        <w:numPr>
          <w:ilvl w:val="0"/>
          <w:numId w:val="8"/>
        </w:numPr>
      </w:pPr>
      <w:r>
        <w:t>Tarjousten avaaminen tarjousajan päätyttyä</w:t>
      </w:r>
    </w:p>
    <w:p w:rsidR="00090E0F" w:rsidRDefault="00090E0F" w:rsidP="00090E0F">
      <w:pPr>
        <w:pStyle w:val="Luettelokappale"/>
        <w:numPr>
          <w:ilvl w:val="0"/>
          <w:numId w:val="8"/>
        </w:numPr>
      </w:pPr>
      <w:r>
        <w:lastRenderedPageBreak/>
        <w:t>Tarjousten tarjouspyynnönmukaisuuden tarkistaminen</w:t>
      </w:r>
    </w:p>
    <w:p w:rsidR="00090E0F" w:rsidRDefault="00090E0F" w:rsidP="00090E0F">
      <w:pPr>
        <w:pStyle w:val="Luettelokappale"/>
        <w:numPr>
          <w:ilvl w:val="0"/>
          <w:numId w:val="8"/>
        </w:numPr>
      </w:pPr>
      <w:r>
        <w:t>Tarjousten arviointi ja vertailu kohdassa 6.1 esitetyin kokonaistaloudellisen edullisuuden perusteiden mukaisesti.</w:t>
      </w:r>
    </w:p>
    <w:p w:rsidR="00090E0F" w:rsidRPr="00193A6D" w:rsidRDefault="00090E0F" w:rsidP="00090E0F">
      <w:pPr>
        <w:pStyle w:val="Luettelokappale"/>
        <w:numPr>
          <w:ilvl w:val="0"/>
          <w:numId w:val="8"/>
        </w:numPr>
      </w:pPr>
      <w:r>
        <w:t xml:space="preserve">Poissulkemisen edellytysten ja soveltuvuusvaatimuksen täyttymisen selvittäminen </w:t>
      </w:r>
      <w:r w:rsidR="006D1F7E">
        <w:t>valitulta tarjoajalta,</w:t>
      </w:r>
      <w:r>
        <w:t xml:space="preserve"> ellei selvitetty aiemmassa vaiheessa hankintamenettelyä</w:t>
      </w:r>
    </w:p>
    <w:p w:rsidR="00090E0F" w:rsidRDefault="00090E0F" w:rsidP="00090E0F">
      <w:pPr>
        <w:pStyle w:val="Otsikko2"/>
      </w:pPr>
      <w:r>
        <w:t>Kokonaistaloudellisesti edullisimman tarjouksen valinta</w:t>
      </w:r>
    </w:p>
    <w:p w:rsidR="00A25726" w:rsidRDefault="00090E0F" w:rsidP="00090E0F">
      <w:r>
        <w:t xml:space="preserve">Kokonaistaloudellisen edullisuuden perusteena käytetään parasta hinta-laatusuhdetta. </w:t>
      </w:r>
      <w:r w:rsidR="00A25726">
        <w:t>Vertailuperusteiden suhteellinen painotus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034"/>
      </w:tblGrid>
      <w:tr w:rsidR="00A25726" w:rsidTr="00813D8A">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Painotus</w:t>
            </w:r>
          </w:p>
        </w:tc>
      </w:tr>
      <w:tr w:rsidR="00A25726" w:rsidTr="00813D8A">
        <w:tc>
          <w:tcPr>
            <w:tcW w:w="4508" w:type="dxa"/>
            <w:tcBorders>
              <w:top w:val="single" w:sz="4" w:space="0" w:color="auto"/>
            </w:tcBorders>
            <w:vAlign w:val="center"/>
          </w:tcPr>
          <w:p w:rsidR="00A25726" w:rsidRDefault="00A25726" w:rsidP="00813D8A">
            <w:pPr>
              <w:spacing w:before="240"/>
            </w:pPr>
            <w:r>
              <w:t>Kokonaishinta</w:t>
            </w:r>
          </w:p>
        </w:tc>
        <w:tc>
          <w:tcPr>
            <w:tcW w:w="4508" w:type="dxa"/>
            <w:tcBorders>
              <w:top w:val="single" w:sz="4" w:space="0" w:color="auto"/>
            </w:tcBorders>
            <w:vAlign w:val="center"/>
          </w:tcPr>
          <w:p w:rsidR="00A25726" w:rsidRPr="00F6235B" w:rsidRDefault="00F6235B" w:rsidP="00813D8A">
            <w:pPr>
              <w:spacing w:before="240"/>
              <w:rPr>
                <w:color w:val="538135" w:themeColor="accent6" w:themeShade="BF"/>
              </w:rPr>
            </w:pPr>
            <w:r>
              <w:rPr>
                <w:color w:val="538135" w:themeColor="accent6" w:themeShade="BF"/>
              </w:rPr>
              <w:t>35-45</w:t>
            </w:r>
            <w:r w:rsidR="00A25726" w:rsidRPr="00F6235B">
              <w:rPr>
                <w:color w:val="538135" w:themeColor="accent6" w:themeShade="BF"/>
              </w:rPr>
              <w:t xml:space="preserve"> %</w:t>
            </w:r>
          </w:p>
        </w:tc>
      </w:tr>
      <w:tr w:rsidR="00A25726" w:rsidTr="00813D8A">
        <w:tc>
          <w:tcPr>
            <w:tcW w:w="4508" w:type="dxa"/>
            <w:vAlign w:val="center"/>
          </w:tcPr>
          <w:p w:rsidR="00A25726" w:rsidRDefault="00A25726" w:rsidP="00813D8A">
            <w:pPr>
              <w:spacing w:before="240"/>
            </w:pPr>
            <w:r>
              <w:t>Vastuu</w:t>
            </w:r>
            <w:r w:rsidR="00D33D8D">
              <w:t xml:space="preserve">llisen </w:t>
            </w:r>
            <w:r>
              <w:t>suunnittelijan kokemus, koulutus ja referenssit</w:t>
            </w:r>
          </w:p>
        </w:tc>
        <w:tc>
          <w:tcPr>
            <w:tcW w:w="4508" w:type="dxa"/>
            <w:vAlign w:val="center"/>
          </w:tcPr>
          <w:p w:rsidR="00A25726" w:rsidRPr="00F6235B" w:rsidRDefault="00F6235B" w:rsidP="00813D8A">
            <w:pPr>
              <w:spacing w:before="240"/>
              <w:rPr>
                <w:color w:val="538135" w:themeColor="accent6" w:themeShade="BF"/>
              </w:rPr>
            </w:pPr>
            <w:r>
              <w:rPr>
                <w:color w:val="538135" w:themeColor="accent6" w:themeShade="BF"/>
              </w:rPr>
              <w:t>20-30</w:t>
            </w:r>
            <w:r w:rsidR="00A25726" w:rsidRPr="00F6235B">
              <w:rPr>
                <w:color w:val="538135" w:themeColor="accent6" w:themeShade="BF"/>
              </w:rPr>
              <w:t xml:space="preserve"> %</w:t>
            </w:r>
          </w:p>
        </w:tc>
      </w:tr>
      <w:tr w:rsidR="00A25726" w:rsidTr="00813D8A">
        <w:tc>
          <w:tcPr>
            <w:tcW w:w="4508" w:type="dxa"/>
            <w:vAlign w:val="center"/>
          </w:tcPr>
          <w:p w:rsidR="00A25726" w:rsidRDefault="00A25726" w:rsidP="00813D8A">
            <w:pPr>
              <w:spacing w:before="240"/>
            </w:pPr>
            <w:r>
              <w:t>Projektisuunnittelijan kokemus, koulutus ja referenssit</w:t>
            </w:r>
          </w:p>
        </w:tc>
        <w:tc>
          <w:tcPr>
            <w:tcW w:w="4508" w:type="dxa"/>
            <w:vAlign w:val="center"/>
          </w:tcPr>
          <w:p w:rsidR="00A25726" w:rsidRPr="00F6235B" w:rsidRDefault="00A25726" w:rsidP="00813D8A">
            <w:pPr>
              <w:spacing w:before="240"/>
              <w:rPr>
                <w:color w:val="538135" w:themeColor="accent6" w:themeShade="BF"/>
              </w:rPr>
            </w:pPr>
            <w:r w:rsidRPr="00F6235B">
              <w:rPr>
                <w:color w:val="538135" w:themeColor="accent6" w:themeShade="BF"/>
              </w:rPr>
              <w:t>2</w:t>
            </w:r>
            <w:r w:rsidR="00F6235B">
              <w:rPr>
                <w:color w:val="538135" w:themeColor="accent6" w:themeShade="BF"/>
              </w:rPr>
              <w:t>0-30</w:t>
            </w:r>
            <w:r w:rsidRPr="00F6235B">
              <w:rPr>
                <w:color w:val="538135" w:themeColor="accent6" w:themeShade="BF"/>
              </w:rPr>
              <w:t xml:space="preserve"> %</w:t>
            </w:r>
          </w:p>
        </w:tc>
      </w:tr>
      <w:tr w:rsidR="00467057" w:rsidTr="00813D8A">
        <w:tc>
          <w:tcPr>
            <w:tcW w:w="4508" w:type="dxa"/>
            <w:tcBorders>
              <w:bottom w:val="single" w:sz="4" w:space="0" w:color="auto"/>
            </w:tcBorders>
            <w:vAlign w:val="center"/>
          </w:tcPr>
          <w:p w:rsidR="00467057" w:rsidRDefault="00467057" w:rsidP="00813D8A">
            <w:pPr>
              <w:spacing w:before="240"/>
            </w:pPr>
            <w:r>
              <w:t>Projektisuunnitelma</w:t>
            </w:r>
          </w:p>
        </w:tc>
        <w:tc>
          <w:tcPr>
            <w:tcW w:w="4508" w:type="dxa"/>
            <w:tcBorders>
              <w:bottom w:val="single" w:sz="4" w:space="0" w:color="auto"/>
            </w:tcBorders>
            <w:vAlign w:val="center"/>
          </w:tcPr>
          <w:p w:rsidR="00467057" w:rsidRPr="00F6235B" w:rsidRDefault="00F6235B" w:rsidP="00813D8A">
            <w:pPr>
              <w:spacing w:before="240"/>
              <w:rPr>
                <w:color w:val="538135" w:themeColor="accent6" w:themeShade="BF"/>
              </w:rPr>
            </w:pPr>
            <w:r>
              <w:rPr>
                <w:color w:val="538135" w:themeColor="accent6" w:themeShade="BF"/>
              </w:rPr>
              <w:t>5-15</w:t>
            </w:r>
            <w:r w:rsidR="00467057" w:rsidRPr="00F6235B">
              <w:rPr>
                <w:color w:val="538135" w:themeColor="accent6" w:themeShade="BF"/>
              </w:rPr>
              <w:t xml:space="preserve"> %</w:t>
            </w:r>
          </w:p>
        </w:tc>
      </w:tr>
    </w:tbl>
    <w:p w:rsidR="00090E0F" w:rsidRDefault="00961EA2" w:rsidP="003B0C9B">
      <w:pPr>
        <w:spacing w:before="240"/>
      </w:pPr>
      <w:r>
        <w:t>Parh</w:t>
      </w:r>
      <w:r w:rsidR="00A25726">
        <w:t>aan hinta-laatu suhteen tarkemmat arvioint</w:t>
      </w:r>
      <w:r>
        <w:t>i</w:t>
      </w:r>
      <w:r w:rsidR="00A25726">
        <w:t>periaatteet</w:t>
      </w:r>
      <w:r>
        <w:t xml:space="preserve"> on esitetty liitteessä 6</w:t>
      </w:r>
      <w:r w:rsidR="00A25726">
        <w:t xml:space="preserve"> ”Arviointiperusteet”</w:t>
      </w:r>
      <w:r w:rsidR="003B0C9B">
        <w:t>.</w:t>
      </w:r>
      <w:r w:rsidR="003B0C9B" w:rsidRPr="003B0C9B">
        <w:t xml:space="preserve"> </w:t>
      </w:r>
      <w:r w:rsidR="003B0C9B">
        <w:t xml:space="preserve">Arviointia varten toimitettavat asiakirjat on esitetty liitteessä 7 </w:t>
      </w:r>
      <w:r w:rsidR="003B0C9B">
        <w:rPr>
          <w:lang w:eastAsia="fi-FI"/>
        </w:rPr>
        <w:t>”Luettelo tarjoukseen liitettävistä asiakirjoista ja soveltuvuusvaatimusten täyttymisen osoittamiseksi toimitettavista asiakirjoista”.</w:t>
      </w:r>
    </w:p>
    <w:p w:rsidR="00090E0F" w:rsidRDefault="00090E0F" w:rsidP="00090E0F">
      <w:pPr>
        <w:pStyle w:val="Otsikko2"/>
      </w:pPr>
      <w:r>
        <w:t>Tarjousten hylkääminen</w:t>
      </w:r>
    </w:p>
    <w:p w:rsidR="00422880" w:rsidRDefault="00422880" w:rsidP="00422880">
      <w:r>
        <w:t>Tarjous voidaan sulkea pois tarjouskilpailusta, mikäli se ei ole tämän tarjouspyynnön mukainen. Hankintayksikkö on velvollinen hylkäämään tarjouksen tarjouspyynnön vastaisena</w:t>
      </w:r>
      <w:r w:rsidR="00440761">
        <w:t>,</w:t>
      </w:r>
      <w:r>
        <w:t xml:space="preserve"> jos tarjouksessa on sellainen virhe tai puute, joka estää tarjouksen tasapuolisen vertailun muiden tarjouspyynnön mukaisten tarjousten kanssa.</w:t>
      </w:r>
    </w:p>
    <w:p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rsidR="00C07C81" w:rsidRDefault="00C07C81" w:rsidP="00C07C81">
      <w:pPr>
        <w:pStyle w:val="Otsikko1"/>
      </w:pPr>
      <w:bookmarkStart w:id="6" w:name="_Toc469578988"/>
      <w:r>
        <w:t>Sopimus</w:t>
      </w:r>
      <w:r w:rsidR="00BB668E">
        <w:t>ehdot</w:t>
      </w:r>
      <w:bookmarkEnd w:id="6"/>
    </w:p>
    <w:p w:rsidR="00987533" w:rsidRPr="00987533" w:rsidRDefault="00987533" w:rsidP="00987533">
      <w:pPr>
        <w:rPr>
          <w:color w:val="538135" w:themeColor="accent6" w:themeShade="BF"/>
        </w:rPr>
      </w:pPr>
      <w:r w:rsidRPr="00987533">
        <w:rPr>
          <w:color w:val="538135" w:themeColor="accent6" w:themeShade="BF"/>
        </w:rPr>
        <w:t>(Sopimusehtoihin liittyvät asiat on suositeltavaa esittää vain yhdessä asiakirjassa ristiriitojen välttämiseksi. Tässä esimerkissä joitain sopimusehtoja on esitetty esimerkinomaisesti tarjouspyyntöön kirjattuina vaikka tarjouspyynnön liitteeksi on merkitty ”Konsulttisopimuksen luonnos”.)</w:t>
      </w:r>
    </w:p>
    <w:p w:rsidR="00BB668E" w:rsidRDefault="00BB668E" w:rsidP="00BB668E">
      <w:pPr>
        <w:pStyle w:val="Otsikko2"/>
      </w:pPr>
      <w:r>
        <w:t>Sopimus</w:t>
      </w:r>
    </w:p>
    <w:p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rsidR="00BB668E" w:rsidRPr="00BB668E" w:rsidRDefault="00BB668E" w:rsidP="00BB668E">
      <w:r>
        <w:lastRenderedPageBreak/>
        <w:t>Toimeksiannon suorittamisesta laaditaan erillinen konsulttisopimus (</w:t>
      </w:r>
      <w:r w:rsidR="00C06048">
        <w:t>Liite 5</w:t>
      </w:r>
      <w:r>
        <w:t xml:space="preserve">) noudattaen Konsulttitoiminnan yleisiä sopimusehtoja KSE 2013 (RT 13–11143). Sopimukseen liitetään tämä tarjouspyyntö </w:t>
      </w:r>
      <w:r w:rsidR="00C06048">
        <w:t xml:space="preserve">liitteineen </w:t>
      </w:r>
      <w:r>
        <w:t>sekä tarjous liitteineen. Sopimuksentekovaiheessa sopimukseen</w:t>
      </w:r>
      <w:r w:rsidR="006F40EB">
        <w:t xml:space="preserve"> voidaan tehdä</w:t>
      </w:r>
      <w:r>
        <w:t xml:space="preserve"> vain sellaisia kirjauksia, jotka eivät muuta hankinnan kokonaistaloudellista edullisuutta. </w:t>
      </w:r>
    </w:p>
    <w:p w:rsidR="00C07C81" w:rsidRDefault="00C07C81" w:rsidP="00C07C81">
      <w:r>
        <w:t>Toimeksiannossa noudatetaan seuraavia sopimusasiakirjoja seuraavassa järjestyksessä Konsulttitoiminnan yleisten sopimusehtojen KSE</w:t>
      </w:r>
      <w:r w:rsidR="00BB668E">
        <w:t xml:space="preserve"> </w:t>
      </w:r>
      <w:r>
        <w:t>2013 kohdan 9.1 mukaisesti:</w:t>
      </w:r>
    </w:p>
    <w:p w:rsidR="00CA4F8B" w:rsidRDefault="00CA4F8B" w:rsidP="00CA4F8B">
      <w:pPr>
        <w:pStyle w:val="Luettelokappale"/>
        <w:numPr>
          <w:ilvl w:val="0"/>
          <w:numId w:val="4"/>
        </w:numPr>
      </w:pPr>
      <w:r>
        <w:t>Konsulttisopimus</w:t>
      </w:r>
    </w:p>
    <w:p w:rsidR="00CA4F8B" w:rsidRPr="00B651D5" w:rsidRDefault="00CA4F8B" w:rsidP="00CA4F8B">
      <w:pPr>
        <w:pStyle w:val="Luettelokappale"/>
        <w:numPr>
          <w:ilvl w:val="1"/>
          <w:numId w:val="4"/>
        </w:numPr>
      </w:pPr>
      <w:r w:rsidRPr="00B651D5">
        <w:t>Sopimuskatselmuksen pöytäkirja</w:t>
      </w:r>
    </w:p>
    <w:p w:rsidR="00CA4F8B" w:rsidRDefault="00CA4F8B" w:rsidP="00CA4F8B">
      <w:pPr>
        <w:pStyle w:val="Luettelokappale"/>
        <w:numPr>
          <w:ilvl w:val="1"/>
          <w:numId w:val="4"/>
        </w:numPr>
      </w:pPr>
      <w:r>
        <w:t>Maksuerätaulukko ja tuntiveloitushinnasto</w:t>
      </w:r>
    </w:p>
    <w:p w:rsidR="00CA4F8B" w:rsidRDefault="00CA4F8B" w:rsidP="00CA4F8B">
      <w:pPr>
        <w:pStyle w:val="Luettelokappale"/>
        <w:numPr>
          <w:ilvl w:val="0"/>
          <w:numId w:val="4"/>
        </w:numPr>
      </w:pPr>
      <w:r>
        <w:t>Tarjouspyyntö liitteineen</w:t>
      </w:r>
    </w:p>
    <w:p w:rsidR="00CA4F8B" w:rsidRDefault="00CA4F8B" w:rsidP="00CA4F8B">
      <w:pPr>
        <w:pStyle w:val="Luettelokappale"/>
        <w:numPr>
          <w:ilvl w:val="0"/>
          <w:numId w:val="4"/>
        </w:numPr>
      </w:pPr>
      <w:r>
        <w:t>Konsulttitoiminnan yleiset sopimusehdot KSE 2013</w:t>
      </w:r>
    </w:p>
    <w:p w:rsidR="00D13C0E" w:rsidRDefault="00CA4F8B" w:rsidP="00142C92">
      <w:pPr>
        <w:pStyle w:val="Luettelokappale"/>
        <w:numPr>
          <w:ilvl w:val="0"/>
          <w:numId w:val="4"/>
        </w:numPr>
      </w:pPr>
      <w:r>
        <w:t>Tarjous liitteineen</w:t>
      </w:r>
    </w:p>
    <w:p w:rsidR="00D13C0E" w:rsidRDefault="00D13C0E" w:rsidP="00D13C0E">
      <w:r>
        <w:t>Ennen sopimuksen tekemistä valitun toimittajan tulee osoittaa lainmukaisin todistuksin ja selvityksin, että se täyttää tilaajavastuulain mukaiset vaatimukset.</w:t>
      </w:r>
    </w:p>
    <w:p w:rsidR="00142C92" w:rsidRDefault="00142C92" w:rsidP="00142C92">
      <w:r>
        <w:t>Sopimus syntyy vasta sopimuksen allekirjoittamisella.</w:t>
      </w:r>
    </w:p>
    <w:p w:rsidR="009C5D82" w:rsidRDefault="009C5D82" w:rsidP="009C5D82">
      <w:pPr>
        <w:pStyle w:val="Otsikko2"/>
      </w:pPr>
      <w:r>
        <w:t>Veloitusperusteet</w:t>
      </w:r>
    </w:p>
    <w:p w:rsidR="00A11488" w:rsidRDefault="009C5D82" w:rsidP="00750E67">
      <w:r w:rsidRPr="00A40A5C">
        <w:t>Työn veloitusperusteena käytetään KSE 2013 kohdassa 5.</w:t>
      </w:r>
      <w:r w:rsidR="00A11488" w:rsidRPr="00A40A5C">
        <w:t>2</w:t>
      </w:r>
      <w:r w:rsidRPr="00A40A5C">
        <w:t>.</w:t>
      </w:r>
      <w:r w:rsidR="00A11488" w:rsidRPr="00A40A5C">
        <w:t>3</w:t>
      </w:r>
      <w:r w:rsidRPr="00A40A5C">
        <w:t xml:space="preserve"> tarkoitettua </w:t>
      </w:r>
      <w:r w:rsidR="00A11488" w:rsidRPr="00A40A5C">
        <w:t>aikapalkkiota henkilöryhmittäin</w:t>
      </w:r>
      <w:r w:rsidRPr="00A40A5C">
        <w:t>. Hintatarjouksessa tulee ilmoittaa</w:t>
      </w:r>
      <w:r w:rsidR="00801781" w:rsidRPr="00A40A5C">
        <w:t xml:space="preserve"> euroina</w:t>
      </w:r>
      <w:r w:rsidR="00E8178F" w:rsidRPr="00A40A5C">
        <w:t xml:space="preserve"> ilman arvonlisäveroa</w:t>
      </w:r>
      <w:r w:rsidRPr="00A40A5C">
        <w:t xml:space="preserve"> </w:t>
      </w:r>
      <w:r w:rsidR="006A12E8" w:rsidRPr="00A40A5C">
        <w:t xml:space="preserve">henkilöryhmien </w:t>
      </w:r>
      <w:r w:rsidR="00A11488" w:rsidRPr="00A40A5C">
        <w:t>aikapalkkiot</w:t>
      </w:r>
      <w:r w:rsidR="006A12E8" w:rsidRPr="00A40A5C">
        <w:t xml:space="preserve"> SKOL-luokituksen mukaisesti</w:t>
      </w:r>
      <w:r w:rsidRPr="00A40A5C">
        <w:t>.</w:t>
      </w:r>
    </w:p>
    <w:p w:rsidR="00185DF2" w:rsidRDefault="00185DF2" w:rsidP="00750E67">
      <w:r>
        <w:t>Toimittaja laskuttaa hankintayksikköä kuukausittain toteumaan perustuen.</w:t>
      </w:r>
    </w:p>
    <w:p w:rsidR="00646381" w:rsidRDefault="001538D6" w:rsidP="00750E67">
      <w:r>
        <w:t xml:space="preserve">Tilattavalle työlle asetetaan </w:t>
      </w:r>
      <w:r w:rsidR="00864BCF">
        <w:t xml:space="preserve">hankintasopimuksessa </w:t>
      </w:r>
      <w:r>
        <w:t xml:space="preserve">kattohinta </w:t>
      </w:r>
      <w:r w:rsidR="00646381">
        <w:t>(liite 5 ”Konsulttisopimuksen luonnos”).</w:t>
      </w:r>
    </w:p>
    <w:p w:rsidR="00F9281A" w:rsidRPr="00A11488" w:rsidRDefault="00A11488" w:rsidP="00A11488">
      <w:r>
        <w:t>Tässä tarjouspyynnössä määriteltyyn toimeks</w:t>
      </w:r>
      <w:r w:rsidR="00D463B6">
        <w:t>iantoon kuulumattomista, mutta liittyvistä</w:t>
      </w:r>
      <w:r>
        <w:t xml:space="preserve"> </w:t>
      </w:r>
      <w:r w:rsidR="006A12E8">
        <w:t xml:space="preserve">muutos- ja lisätöistä sovitaan aina </w:t>
      </w:r>
      <w:r>
        <w:t>erikseen.</w:t>
      </w:r>
      <w:r w:rsidR="002E676E">
        <w:t xml:space="preserve"> Muutos- ja lisätöiden veloitusperusteena käytetään tarjouksessa ilmoitettuja aikapalkkioita henkilöryhmittäin.</w:t>
      </w:r>
    </w:p>
    <w:p w:rsidR="00090E0F" w:rsidRDefault="00090E0F" w:rsidP="00090E0F">
      <w:pPr>
        <w:pStyle w:val="Otsikko1"/>
      </w:pPr>
      <w:bookmarkStart w:id="7" w:name="_Toc469578989"/>
      <w:r>
        <w:t>Lisätiedot</w:t>
      </w:r>
      <w:bookmarkEnd w:id="7"/>
    </w:p>
    <w:p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Kysymykset tulee esittää pp.kk.vvvv klo hh:mm mennessä. Kaikkiin kysymyksiin tullaan vastaamaan pp.kk.vvvv klo hh:mm mennessä ja kysymykset vastauksineen julkaistaan kilpailutus</w:t>
      </w:r>
      <w:r w:rsidR="00256E50">
        <w:rPr>
          <w:lang w:eastAsia="fi-FI"/>
        </w:rPr>
        <w:t>järjestelmässä</w:t>
      </w:r>
      <w:r w:rsidR="00FB5967">
        <w:rPr>
          <w:lang w:eastAsia="fi-FI"/>
        </w:rPr>
        <w:t>.</w:t>
      </w:r>
      <w:r w:rsidRPr="00F16AE6">
        <w:rPr>
          <w:lang w:eastAsia="fi-FI"/>
        </w:rPr>
        <w:t xml:space="preserve"> </w:t>
      </w:r>
      <w:r>
        <w:rPr>
          <w:lang w:eastAsia="fi-FI"/>
        </w:rPr>
        <w:t>Hankintayksikö julkaisee mahdolliset lisäkirjeet kilpailutusjärjestelmässä.</w:t>
      </w:r>
    </w:p>
    <w:p w:rsidR="00C305BF" w:rsidRDefault="007A0D5F" w:rsidP="00090E0F">
      <w:pPr>
        <w:rPr>
          <w:lang w:eastAsia="fi-FI"/>
        </w:rPr>
      </w:pPr>
      <w:r>
        <w:rPr>
          <w:lang w:eastAsia="fi-FI"/>
        </w:rPr>
        <w:t>Kilpailutusjärjestelmän</w:t>
      </w:r>
      <w:bookmarkStart w:id="8" w:name="_GoBack"/>
      <w:bookmarkEnd w:id="8"/>
      <w:r w:rsidR="00090E0F" w:rsidRPr="00F16AE6">
        <w:rPr>
          <w:lang w:eastAsia="fi-FI"/>
        </w:rPr>
        <w:t xml:space="preserve"> käyttöön liittyvissä kysymyksissä tulee olla yhteydessä </w:t>
      </w:r>
      <w:r w:rsidR="00C758D1">
        <w:rPr>
          <w:lang w:eastAsia="fi-FI"/>
        </w:rPr>
        <w:t>kohdassa 2</w:t>
      </w:r>
      <w:r w:rsidR="00090E0F" w:rsidRPr="00F16AE6">
        <w:rPr>
          <w:lang w:eastAsia="fi-FI"/>
        </w:rPr>
        <w:t xml:space="preserve"> esitettyyn yhteyshenkilöön sähköpostitse.</w:t>
      </w:r>
    </w:p>
    <w:p w:rsidR="00C66439" w:rsidRDefault="00C66439" w:rsidP="00C66439"/>
    <w:p w:rsidR="00C66439" w:rsidRDefault="00C66439" w:rsidP="00C66439"/>
    <w:p w:rsidR="00C66439" w:rsidRDefault="00C66439" w:rsidP="00C66439">
      <w:pPr>
        <w:rPr>
          <w:u w:val="single"/>
        </w:rPr>
      </w:pPr>
      <w:r>
        <w:rPr>
          <w:u w:val="single"/>
        </w:rPr>
        <w:t>_________________________</w:t>
      </w:r>
    </w:p>
    <w:p w:rsidR="00C66439" w:rsidRDefault="00C66439" w:rsidP="00C66439">
      <w:pPr>
        <w:rPr>
          <w:u w:val="single"/>
        </w:rPr>
      </w:pPr>
    </w:p>
    <w:p w:rsidR="00C66439" w:rsidRPr="00C305BF" w:rsidRDefault="00C66439" w:rsidP="00C66439">
      <w:r>
        <w:lastRenderedPageBreak/>
        <w:t>Allekirjoitus ja nimenselvennys</w:t>
      </w:r>
    </w:p>
    <w:p w:rsidR="00C66439" w:rsidRPr="00090E0F" w:rsidRDefault="00C66439" w:rsidP="00090E0F">
      <w:r>
        <w:t>PVM pp.kk.vvvv, Kuntala</w:t>
      </w:r>
    </w:p>
    <w:p w:rsidR="006A48FB" w:rsidRDefault="008A54A6" w:rsidP="008A54A6">
      <w:pPr>
        <w:pStyle w:val="Otsikko1"/>
      </w:pPr>
      <w:bookmarkStart w:id="9" w:name="_Toc469578990"/>
      <w:r>
        <w:t>Liitteet</w:t>
      </w:r>
      <w:bookmarkEnd w:id="9"/>
    </w:p>
    <w:p w:rsidR="00A16116" w:rsidRDefault="005171A4" w:rsidP="00A16116">
      <w:pPr>
        <w:pStyle w:val="Luettelokappale"/>
        <w:numPr>
          <w:ilvl w:val="0"/>
          <w:numId w:val="6"/>
        </w:numPr>
        <w:spacing w:after="0"/>
        <w:rPr>
          <w:lang w:eastAsia="fi-FI"/>
        </w:rPr>
      </w:pPr>
      <w:r>
        <w:rPr>
          <w:lang w:eastAsia="fi-FI"/>
        </w:rPr>
        <w:t>Liite 1</w:t>
      </w:r>
      <w:r w:rsidR="00A16116">
        <w:rPr>
          <w:lang w:eastAsia="fi-FI"/>
        </w:rPr>
        <w:t xml:space="preserve"> ”Hankeohjelma”</w:t>
      </w:r>
    </w:p>
    <w:p w:rsidR="00A16116" w:rsidRDefault="00A16116" w:rsidP="00A16116">
      <w:pPr>
        <w:pStyle w:val="Luettelokappale"/>
        <w:numPr>
          <w:ilvl w:val="0"/>
          <w:numId w:val="6"/>
        </w:numPr>
        <w:spacing w:after="0"/>
        <w:rPr>
          <w:lang w:eastAsia="fi-FI"/>
        </w:rPr>
      </w:pPr>
      <w:r>
        <w:rPr>
          <w:lang w:eastAsia="fi-FI"/>
        </w:rPr>
        <w:t xml:space="preserve">Liite </w:t>
      </w:r>
      <w:r w:rsidRPr="00795195">
        <w:t xml:space="preserve">2 ” </w:t>
      </w:r>
      <w:r w:rsidRPr="00795195">
        <w:rPr>
          <w:lang w:eastAsia="fi-FI"/>
        </w:rPr>
        <w:t>RT 10–11106</w:t>
      </w:r>
      <w:r>
        <w:rPr>
          <w:lang w:eastAsia="fi-FI"/>
        </w:rPr>
        <w:t xml:space="preserve"> Hanketietokortti HT12 (täytetty)”</w:t>
      </w:r>
    </w:p>
    <w:p w:rsidR="00D274C4" w:rsidRDefault="005171A4" w:rsidP="00D274C4">
      <w:pPr>
        <w:pStyle w:val="Luettelokappale"/>
        <w:numPr>
          <w:ilvl w:val="0"/>
          <w:numId w:val="6"/>
        </w:numPr>
        <w:spacing w:after="0"/>
        <w:rPr>
          <w:lang w:eastAsia="fi-FI"/>
        </w:rPr>
      </w:pPr>
      <w:r>
        <w:rPr>
          <w:lang w:eastAsia="fi-FI"/>
        </w:rPr>
        <w:t>Liite 3</w:t>
      </w:r>
      <w:r w:rsidR="00D274C4">
        <w:rPr>
          <w:lang w:eastAsia="fi-FI"/>
        </w:rPr>
        <w:t xml:space="preserve"> ”</w:t>
      </w:r>
      <w:r w:rsidR="00E15E05">
        <w:rPr>
          <w:lang w:eastAsia="fi-FI"/>
        </w:rPr>
        <w:t>Geoteknisen suunnittelun</w:t>
      </w:r>
      <w:r w:rsidR="00D274C4">
        <w:rPr>
          <w:lang w:eastAsia="fi-FI"/>
        </w:rPr>
        <w:t xml:space="preserve"> tehtäväluettelo </w:t>
      </w:r>
      <w:r w:rsidR="00E15E05">
        <w:rPr>
          <w:lang w:eastAsia="fi-FI"/>
        </w:rPr>
        <w:t>GEO</w:t>
      </w:r>
      <w:r w:rsidR="00D274C4">
        <w:rPr>
          <w:lang w:eastAsia="fi-FI"/>
        </w:rPr>
        <w:t>12 (rajauksin ja merkittyine lisätehtävineen)”</w:t>
      </w:r>
    </w:p>
    <w:p w:rsidR="00D274C4" w:rsidRDefault="005171A4" w:rsidP="00D274C4">
      <w:pPr>
        <w:pStyle w:val="Luettelokappale"/>
        <w:numPr>
          <w:ilvl w:val="0"/>
          <w:numId w:val="6"/>
        </w:numPr>
        <w:spacing w:after="0"/>
        <w:rPr>
          <w:lang w:eastAsia="fi-FI"/>
        </w:rPr>
      </w:pPr>
      <w:r>
        <w:rPr>
          <w:lang w:eastAsia="fi-FI"/>
        </w:rPr>
        <w:t>Liite 4</w:t>
      </w:r>
      <w:r w:rsidR="00035683">
        <w:rPr>
          <w:lang w:eastAsia="fi-FI"/>
        </w:rPr>
        <w:t xml:space="preserve"> ”Suunnitte</w:t>
      </w:r>
      <w:r w:rsidR="00D274C4">
        <w:rPr>
          <w:lang w:eastAsia="fi-FI"/>
        </w:rPr>
        <w:t>luohje”</w:t>
      </w:r>
    </w:p>
    <w:p w:rsidR="00C06048" w:rsidRDefault="005171A4" w:rsidP="00D274C4">
      <w:pPr>
        <w:pStyle w:val="Luettelokappale"/>
        <w:numPr>
          <w:ilvl w:val="0"/>
          <w:numId w:val="6"/>
        </w:numPr>
        <w:spacing w:after="0"/>
        <w:rPr>
          <w:lang w:eastAsia="fi-FI"/>
        </w:rPr>
      </w:pPr>
      <w:r>
        <w:rPr>
          <w:lang w:eastAsia="fi-FI"/>
        </w:rPr>
        <w:t>Liite 5</w:t>
      </w:r>
      <w:r w:rsidR="00C06048">
        <w:rPr>
          <w:lang w:eastAsia="fi-FI"/>
        </w:rPr>
        <w:t xml:space="preserve"> ”Konsulttisopimuksen luonnos”</w:t>
      </w:r>
    </w:p>
    <w:p w:rsidR="00961EA2" w:rsidRDefault="005171A4" w:rsidP="00D274C4">
      <w:pPr>
        <w:pStyle w:val="Luettelokappale"/>
        <w:numPr>
          <w:ilvl w:val="0"/>
          <w:numId w:val="6"/>
        </w:numPr>
        <w:spacing w:after="0"/>
        <w:rPr>
          <w:lang w:eastAsia="fi-FI"/>
        </w:rPr>
      </w:pPr>
      <w:r>
        <w:rPr>
          <w:lang w:eastAsia="fi-FI"/>
        </w:rPr>
        <w:t>Liite 6</w:t>
      </w:r>
      <w:r w:rsidR="00961EA2">
        <w:rPr>
          <w:lang w:eastAsia="fi-FI"/>
        </w:rPr>
        <w:t xml:space="preserve"> ”Arviointiperusteet”</w:t>
      </w:r>
    </w:p>
    <w:p w:rsidR="00245BC0" w:rsidRDefault="005171A4" w:rsidP="00D274C4">
      <w:pPr>
        <w:pStyle w:val="Luettelokappale"/>
        <w:numPr>
          <w:ilvl w:val="0"/>
          <w:numId w:val="6"/>
        </w:numPr>
        <w:spacing w:after="0"/>
        <w:rPr>
          <w:lang w:eastAsia="fi-FI"/>
        </w:rPr>
      </w:pPr>
      <w:r>
        <w:rPr>
          <w:lang w:eastAsia="fi-FI"/>
        </w:rPr>
        <w:t>Liite 7</w:t>
      </w:r>
      <w:r w:rsidR="00245BC0">
        <w:rPr>
          <w:lang w:eastAsia="fi-FI"/>
        </w:rPr>
        <w:t xml:space="preserve"> ”Luettelo t</w:t>
      </w:r>
      <w:r w:rsidR="007726F1">
        <w:rPr>
          <w:lang w:eastAsia="fi-FI"/>
        </w:rPr>
        <w:t xml:space="preserve">arjoukseen liitettävistä </w:t>
      </w:r>
      <w:r w:rsidR="00245BC0">
        <w:rPr>
          <w:lang w:eastAsia="fi-FI"/>
        </w:rPr>
        <w:t>asiakirjoista ja soveltuvuusvaatimusten täyttymisen osoittamiseksi toimitettavista asiakirjoista”</w:t>
      </w:r>
    </w:p>
    <w:p w:rsidR="00F846D2" w:rsidRDefault="005171A4" w:rsidP="00D274C4">
      <w:pPr>
        <w:pStyle w:val="Luettelokappale"/>
        <w:numPr>
          <w:ilvl w:val="0"/>
          <w:numId w:val="6"/>
        </w:numPr>
        <w:spacing w:after="0"/>
        <w:rPr>
          <w:lang w:eastAsia="fi-FI"/>
        </w:rPr>
      </w:pPr>
      <w:r>
        <w:rPr>
          <w:lang w:eastAsia="fi-FI"/>
        </w:rPr>
        <w:t>Liite 8</w:t>
      </w:r>
      <w:r w:rsidR="00F846D2">
        <w:rPr>
          <w:lang w:eastAsia="fi-FI"/>
        </w:rPr>
        <w:t xml:space="preserve"> ”</w:t>
      </w:r>
      <w:r w:rsidR="00C56D84">
        <w:rPr>
          <w:lang w:eastAsia="fi-FI"/>
        </w:rPr>
        <w:t>Geoteknisen suunnittelun</w:t>
      </w:r>
      <w:r w:rsidR="00F846D2">
        <w:rPr>
          <w:lang w:eastAsia="fi-FI"/>
        </w:rPr>
        <w:t xml:space="preserve"> rajapinnat”</w:t>
      </w:r>
    </w:p>
    <w:p w:rsidR="00577550" w:rsidRDefault="00577550" w:rsidP="00577550">
      <w:pPr>
        <w:pStyle w:val="Luettelokappale"/>
        <w:numPr>
          <w:ilvl w:val="0"/>
          <w:numId w:val="6"/>
        </w:numPr>
        <w:spacing w:after="0"/>
        <w:rPr>
          <w:lang w:eastAsia="fi-FI"/>
        </w:rPr>
      </w:pPr>
      <w:r>
        <w:rPr>
          <w:lang w:eastAsia="fi-FI"/>
        </w:rPr>
        <w:t>Liite 9 ”Yhteinen eurooppalainen hankinta-asiakirja” (hankintayksikön esitäyttämä)</w:t>
      </w:r>
    </w:p>
    <w:p w:rsidR="00C305BF" w:rsidRPr="000F6AD6" w:rsidRDefault="00946A96" w:rsidP="00A16116">
      <w:pPr>
        <w:pStyle w:val="Luettelokappale"/>
        <w:numPr>
          <w:ilvl w:val="0"/>
          <w:numId w:val="6"/>
        </w:numPr>
        <w:spacing w:after="0"/>
        <w:rPr>
          <w:lang w:eastAsia="fi-FI"/>
        </w:rPr>
      </w:pPr>
      <w:r>
        <w:rPr>
          <w:lang w:eastAsia="fi-FI"/>
        </w:rPr>
        <w:t>Liite 10 ”Pohjatutkimusraportti”</w:t>
      </w:r>
    </w:p>
    <w:sectPr w:rsidR="00C305BF" w:rsidRPr="000F6AD6" w:rsidSect="00710FF7">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CD" w:rsidRDefault="001531CD" w:rsidP="001531CD">
      <w:pPr>
        <w:spacing w:after="0" w:line="240" w:lineRule="auto"/>
      </w:pPr>
      <w:r>
        <w:separator/>
      </w:r>
    </w:p>
  </w:endnote>
  <w:endnote w:type="continuationSeparator" w:id="0">
    <w:p w:rsidR="001531CD" w:rsidRDefault="001531CD" w:rsidP="0015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CD" w:rsidRDefault="001531CD" w:rsidP="001531CD">
      <w:pPr>
        <w:spacing w:after="0" w:line="240" w:lineRule="auto"/>
      </w:pPr>
      <w:r>
        <w:separator/>
      </w:r>
    </w:p>
  </w:footnote>
  <w:footnote w:type="continuationSeparator" w:id="0">
    <w:p w:rsidR="001531CD" w:rsidRDefault="001531CD" w:rsidP="0015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CD" w:rsidRDefault="00CE6B48" w:rsidP="00353BDB">
    <w:pPr>
      <w:pStyle w:val="Yltunniste"/>
    </w:pPr>
    <w:r>
      <w:t>RTS 16:60:TP:3</w:t>
    </w:r>
    <w:r w:rsidR="001531CD">
      <w:t>.</w:t>
    </w:r>
    <w:r>
      <w:t>0</w:t>
    </w:r>
    <w:r w:rsidR="001531CD">
      <w:tab/>
    </w:r>
    <w:r w:rsidR="001531CD">
      <w:tab/>
    </w:r>
    <w:r w:rsidR="001531CD">
      <w:fldChar w:fldCharType="begin"/>
    </w:r>
    <w:r w:rsidR="001531CD">
      <w:instrText>PAGE   \* MERGEFORMAT</w:instrText>
    </w:r>
    <w:r w:rsidR="001531CD">
      <w:fldChar w:fldCharType="separate"/>
    </w:r>
    <w:r w:rsidR="007A0D5F">
      <w:rPr>
        <w:noProof/>
      </w:rPr>
      <w:t>9</w:t>
    </w:r>
    <w:r w:rsidR="001531CD">
      <w:fldChar w:fldCharType="end"/>
    </w:r>
  </w:p>
  <w:p w:rsidR="001531CD" w:rsidRDefault="001531C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A39C29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6"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30343F0"/>
    <w:multiLevelType w:val="hybridMultilevel"/>
    <w:tmpl w:val="0BCCD2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4572A36"/>
    <w:multiLevelType w:val="hybridMultilevel"/>
    <w:tmpl w:val="2DD21C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DC33FA7"/>
    <w:multiLevelType w:val="hybridMultilevel"/>
    <w:tmpl w:val="54F6B6A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AB713B0"/>
    <w:multiLevelType w:val="hybridMultilevel"/>
    <w:tmpl w:val="091029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2"/>
  </w:num>
  <w:num w:numId="5">
    <w:abstractNumId w:val="17"/>
  </w:num>
  <w:num w:numId="6">
    <w:abstractNumId w:val="21"/>
  </w:num>
  <w:num w:numId="7">
    <w:abstractNumId w:val="20"/>
  </w:num>
  <w:num w:numId="8">
    <w:abstractNumId w:val="8"/>
  </w:num>
  <w:num w:numId="9">
    <w:abstractNumId w:val="7"/>
  </w:num>
  <w:num w:numId="10">
    <w:abstractNumId w:val="14"/>
  </w:num>
  <w:num w:numId="11">
    <w:abstractNumId w:val="10"/>
  </w:num>
  <w:num w:numId="12">
    <w:abstractNumId w:val="13"/>
  </w:num>
  <w:num w:numId="13">
    <w:abstractNumId w:val="19"/>
  </w:num>
  <w:num w:numId="14">
    <w:abstractNumId w:val="18"/>
  </w:num>
  <w:num w:numId="15">
    <w:abstractNumId w:val="0"/>
  </w:num>
  <w:num w:numId="16">
    <w:abstractNumId w:val="4"/>
  </w:num>
  <w:num w:numId="17">
    <w:abstractNumId w:val="2"/>
  </w:num>
  <w:num w:numId="18">
    <w:abstractNumId w:val="15"/>
  </w:num>
  <w:num w:numId="19">
    <w:abstractNumId w:val="3"/>
  </w:num>
  <w:num w:numId="20">
    <w:abstractNumId w:val="9"/>
  </w:num>
  <w:num w:numId="21">
    <w:abstractNumId w:val="12"/>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2ACD"/>
    <w:rsid w:val="00035683"/>
    <w:rsid w:val="000423A8"/>
    <w:rsid w:val="000519EA"/>
    <w:rsid w:val="00055BFB"/>
    <w:rsid w:val="00072E71"/>
    <w:rsid w:val="00073551"/>
    <w:rsid w:val="000822A2"/>
    <w:rsid w:val="00090E0F"/>
    <w:rsid w:val="00094F04"/>
    <w:rsid w:val="000B025E"/>
    <w:rsid w:val="000B6909"/>
    <w:rsid w:val="000C1C11"/>
    <w:rsid w:val="000E474D"/>
    <w:rsid w:val="000F1ABE"/>
    <w:rsid w:val="000F6AD6"/>
    <w:rsid w:val="001057E7"/>
    <w:rsid w:val="001139B7"/>
    <w:rsid w:val="00131B01"/>
    <w:rsid w:val="00142C92"/>
    <w:rsid w:val="0015272A"/>
    <w:rsid w:val="001531CD"/>
    <w:rsid w:val="001538D6"/>
    <w:rsid w:val="00154932"/>
    <w:rsid w:val="00164816"/>
    <w:rsid w:val="00167559"/>
    <w:rsid w:val="00185DF2"/>
    <w:rsid w:val="00193A6D"/>
    <w:rsid w:val="00195C6F"/>
    <w:rsid w:val="00195F25"/>
    <w:rsid w:val="001A1429"/>
    <w:rsid w:val="001A6CD9"/>
    <w:rsid w:val="001F2EBF"/>
    <w:rsid w:val="00200EF4"/>
    <w:rsid w:val="00204B12"/>
    <w:rsid w:val="00222ED9"/>
    <w:rsid w:val="002259DA"/>
    <w:rsid w:val="00227CAB"/>
    <w:rsid w:val="002426DB"/>
    <w:rsid w:val="002449E8"/>
    <w:rsid w:val="00245BC0"/>
    <w:rsid w:val="00251DBB"/>
    <w:rsid w:val="00254508"/>
    <w:rsid w:val="00256E50"/>
    <w:rsid w:val="002717CE"/>
    <w:rsid w:val="00284373"/>
    <w:rsid w:val="00284BF2"/>
    <w:rsid w:val="0029077F"/>
    <w:rsid w:val="002964F3"/>
    <w:rsid w:val="002D6C3D"/>
    <w:rsid w:val="002E50E4"/>
    <w:rsid w:val="002E676E"/>
    <w:rsid w:val="002E7872"/>
    <w:rsid w:val="00307FEF"/>
    <w:rsid w:val="003239C3"/>
    <w:rsid w:val="003309B6"/>
    <w:rsid w:val="00344AFF"/>
    <w:rsid w:val="00347DF9"/>
    <w:rsid w:val="00353BDB"/>
    <w:rsid w:val="003569C4"/>
    <w:rsid w:val="003767D9"/>
    <w:rsid w:val="003827BF"/>
    <w:rsid w:val="0038728F"/>
    <w:rsid w:val="003911E7"/>
    <w:rsid w:val="003A420C"/>
    <w:rsid w:val="003B0C9B"/>
    <w:rsid w:val="003C1CFE"/>
    <w:rsid w:val="003C2DC1"/>
    <w:rsid w:val="003D20A2"/>
    <w:rsid w:val="003D4363"/>
    <w:rsid w:val="003D7EC0"/>
    <w:rsid w:val="003E3178"/>
    <w:rsid w:val="003F023D"/>
    <w:rsid w:val="003F14DD"/>
    <w:rsid w:val="003F7556"/>
    <w:rsid w:val="0041420C"/>
    <w:rsid w:val="00417AAB"/>
    <w:rsid w:val="00422880"/>
    <w:rsid w:val="0043033A"/>
    <w:rsid w:val="00440761"/>
    <w:rsid w:val="00444927"/>
    <w:rsid w:val="00446BA5"/>
    <w:rsid w:val="004522EC"/>
    <w:rsid w:val="0045491F"/>
    <w:rsid w:val="00462AB9"/>
    <w:rsid w:val="00467057"/>
    <w:rsid w:val="00473ED4"/>
    <w:rsid w:val="0047746B"/>
    <w:rsid w:val="00486B96"/>
    <w:rsid w:val="0049469E"/>
    <w:rsid w:val="0049696E"/>
    <w:rsid w:val="004A2783"/>
    <w:rsid w:val="004B7071"/>
    <w:rsid w:val="004D189F"/>
    <w:rsid w:val="004D47FB"/>
    <w:rsid w:val="004F5C71"/>
    <w:rsid w:val="00501D45"/>
    <w:rsid w:val="00514F3E"/>
    <w:rsid w:val="00515EA0"/>
    <w:rsid w:val="005171A4"/>
    <w:rsid w:val="0052169B"/>
    <w:rsid w:val="00523EE1"/>
    <w:rsid w:val="00530E69"/>
    <w:rsid w:val="00540279"/>
    <w:rsid w:val="00544252"/>
    <w:rsid w:val="005524C1"/>
    <w:rsid w:val="00565D77"/>
    <w:rsid w:val="005717B6"/>
    <w:rsid w:val="00577550"/>
    <w:rsid w:val="00582396"/>
    <w:rsid w:val="005A045C"/>
    <w:rsid w:val="005B2BD3"/>
    <w:rsid w:val="005D3A75"/>
    <w:rsid w:val="005D3E5F"/>
    <w:rsid w:val="005E216C"/>
    <w:rsid w:val="005E33A7"/>
    <w:rsid w:val="005F114A"/>
    <w:rsid w:val="005F481C"/>
    <w:rsid w:val="00602861"/>
    <w:rsid w:val="006054EE"/>
    <w:rsid w:val="00607C1F"/>
    <w:rsid w:val="0061519D"/>
    <w:rsid w:val="0062382F"/>
    <w:rsid w:val="00636671"/>
    <w:rsid w:val="00646381"/>
    <w:rsid w:val="0065123F"/>
    <w:rsid w:val="00652468"/>
    <w:rsid w:val="00661050"/>
    <w:rsid w:val="0066167B"/>
    <w:rsid w:val="00661AF9"/>
    <w:rsid w:val="006669E9"/>
    <w:rsid w:val="00672B8F"/>
    <w:rsid w:val="006730FA"/>
    <w:rsid w:val="00694258"/>
    <w:rsid w:val="006A12E8"/>
    <w:rsid w:val="006A48FB"/>
    <w:rsid w:val="006B6B33"/>
    <w:rsid w:val="006C7610"/>
    <w:rsid w:val="006D028B"/>
    <w:rsid w:val="006D1F7E"/>
    <w:rsid w:val="006D2F4D"/>
    <w:rsid w:val="006D4D00"/>
    <w:rsid w:val="006E3428"/>
    <w:rsid w:val="006E6AF6"/>
    <w:rsid w:val="006F40EB"/>
    <w:rsid w:val="00703F1D"/>
    <w:rsid w:val="00704207"/>
    <w:rsid w:val="00710A76"/>
    <w:rsid w:val="00710FF7"/>
    <w:rsid w:val="00711C23"/>
    <w:rsid w:val="00742A01"/>
    <w:rsid w:val="00744E0F"/>
    <w:rsid w:val="0075043D"/>
    <w:rsid w:val="00750E67"/>
    <w:rsid w:val="007536D0"/>
    <w:rsid w:val="007649EC"/>
    <w:rsid w:val="00766734"/>
    <w:rsid w:val="007726F1"/>
    <w:rsid w:val="00775AEE"/>
    <w:rsid w:val="00787703"/>
    <w:rsid w:val="00797EB9"/>
    <w:rsid w:val="007A0D5F"/>
    <w:rsid w:val="007B7010"/>
    <w:rsid w:val="007C2D62"/>
    <w:rsid w:val="007D57B7"/>
    <w:rsid w:val="007D724F"/>
    <w:rsid w:val="007F0C8E"/>
    <w:rsid w:val="007F2648"/>
    <w:rsid w:val="00801781"/>
    <w:rsid w:val="00802AD5"/>
    <w:rsid w:val="00803C78"/>
    <w:rsid w:val="0080749C"/>
    <w:rsid w:val="00813D8A"/>
    <w:rsid w:val="0081701F"/>
    <w:rsid w:val="008235AF"/>
    <w:rsid w:val="00826768"/>
    <w:rsid w:val="00834840"/>
    <w:rsid w:val="00851B88"/>
    <w:rsid w:val="008529C4"/>
    <w:rsid w:val="00856241"/>
    <w:rsid w:val="008633BD"/>
    <w:rsid w:val="00864BCF"/>
    <w:rsid w:val="008668A1"/>
    <w:rsid w:val="008771A0"/>
    <w:rsid w:val="0089122B"/>
    <w:rsid w:val="008927D2"/>
    <w:rsid w:val="008933F4"/>
    <w:rsid w:val="008A54A6"/>
    <w:rsid w:val="008D0CCD"/>
    <w:rsid w:val="008D142C"/>
    <w:rsid w:val="008D2A5E"/>
    <w:rsid w:val="008E0FE1"/>
    <w:rsid w:val="008E3420"/>
    <w:rsid w:val="008F56FE"/>
    <w:rsid w:val="0090322F"/>
    <w:rsid w:val="00911B03"/>
    <w:rsid w:val="00913627"/>
    <w:rsid w:val="009179B9"/>
    <w:rsid w:val="00922C55"/>
    <w:rsid w:val="00937102"/>
    <w:rsid w:val="009377CE"/>
    <w:rsid w:val="00946A96"/>
    <w:rsid w:val="00951406"/>
    <w:rsid w:val="009549E2"/>
    <w:rsid w:val="009579B2"/>
    <w:rsid w:val="00961EA2"/>
    <w:rsid w:val="009647CF"/>
    <w:rsid w:val="00976378"/>
    <w:rsid w:val="00985234"/>
    <w:rsid w:val="00986DFF"/>
    <w:rsid w:val="00987533"/>
    <w:rsid w:val="009A1658"/>
    <w:rsid w:val="009C59F9"/>
    <w:rsid w:val="009C5D82"/>
    <w:rsid w:val="009D2FCD"/>
    <w:rsid w:val="009D69A1"/>
    <w:rsid w:val="00A029E9"/>
    <w:rsid w:val="00A052B3"/>
    <w:rsid w:val="00A06635"/>
    <w:rsid w:val="00A11488"/>
    <w:rsid w:val="00A1276F"/>
    <w:rsid w:val="00A16116"/>
    <w:rsid w:val="00A245CC"/>
    <w:rsid w:val="00A25726"/>
    <w:rsid w:val="00A328F5"/>
    <w:rsid w:val="00A40A5C"/>
    <w:rsid w:val="00A55081"/>
    <w:rsid w:val="00A56E67"/>
    <w:rsid w:val="00A61088"/>
    <w:rsid w:val="00A62A14"/>
    <w:rsid w:val="00A713E9"/>
    <w:rsid w:val="00A71ED8"/>
    <w:rsid w:val="00A74CF1"/>
    <w:rsid w:val="00A812D8"/>
    <w:rsid w:val="00A82D33"/>
    <w:rsid w:val="00A83018"/>
    <w:rsid w:val="00A92268"/>
    <w:rsid w:val="00A97034"/>
    <w:rsid w:val="00AA1942"/>
    <w:rsid w:val="00AA7554"/>
    <w:rsid w:val="00AB4848"/>
    <w:rsid w:val="00AB55EB"/>
    <w:rsid w:val="00AC1B62"/>
    <w:rsid w:val="00AC7848"/>
    <w:rsid w:val="00AD0CD0"/>
    <w:rsid w:val="00AE132A"/>
    <w:rsid w:val="00AE3D28"/>
    <w:rsid w:val="00AF7342"/>
    <w:rsid w:val="00B01A05"/>
    <w:rsid w:val="00B13ABB"/>
    <w:rsid w:val="00B232A6"/>
    <w:rsid w:val="00B37E32"/>
    <w:rsid w:val="00B46E95"/>
    <w:rsid w:val="00B61986"/>
    <w:rsid w:val="00B65514"/>
    <w:rsid w:val="00B80BF4"/>
    <w:rsid w:val="00BA29A4"/>
    <w:rsid w:val="00BA48E3"/>
    <w:rsid w:val="00BB26FD"/>
    <w:rsid w:val="00BB668E"/>
    <w:rsid w:val="00BB7149"/>
    <w:rsid w:val="00BC3698"/>
    <w:rsid w:val="00BC386B"/>
    <w:rsid w:val="00BC5E4D"/>
    <w:rsid w:val="00BC6E9B"/>
    <w:rsid w:val="00BD5E5F"/>
    <w:rsid w:val="00BE2C3F"/>
    <w:rsid w:val="00C06048"/>
    <w:rsid w:val="00C07C81"/>
    <w:rsid w:val="00C26561"/>
    <w:rsid w:val="00C305BF"/>
    <w:rsid w:val="00C32E5B"/>
    <w:rsid w:val="00C41A62"/>
    <w:rsid w:val="00C4493F"/>
    <w:rsid w:val="00C4561A"/>
    <w:rsid w:val="00C4787F"/>
    <w:rsid w:val="00C56D84"/>
    <w:rsid w:val="00C643EC"/>
    <w:rsid w:val="00C66439"/>
    <w:rsid w:val="00C72499"/>
    <w:rsid w:val="00C758D1"/>
    <w:rsid w:val="00C82035"/>
    <w:rsid w:val="00CA4E32"/>
    <w:rsid w:val="00CA4F8B"/>
    <w:rsid w:val="00CC68C4"/>
    <w:rsid w:val="00CD543A"/>
    <w:rsid w:val="00CD55D5"/>
    <w:rsid w:val="00CE3031"/>
    <w:rsid w:val="00CE699B"/>
    <w:rsid w:val="00CE6B48"/>
    <w:rsid w:val="00D075AE"/>
    <w:rsid w:val="00D13C0E"/>
    <w:rsid w:val="00D21771"/>
    <w:rsid w:val="00D274C4"/>
    <w:rsid w:val="00D33D8D"/>
    <w:rsid w:val="00D426E4"/>
    <w:rsid w:val="00D442AF"/>
    <w:rsid w:val="00D463B6"/>
    <w:rsid w:val="00D46ED6"/>
    <w:rsid w:val="00D70565"/>
    <w:rsid w:val="00D903BC"/>
    <w:rsid w:val="00D95270"/>
    <w:rsid w:val="00DA7199"/>
    <w:rsid w:val="00DB74B7"/>
    <w:rsid w:val="00DC047A"/>
    <w:rsid w:val="00DC1CAB"/>
    <w:rsid w:val="00DD14A9"/>
    <w:rsid w:val="00DD1BEB"/>
    <w:rsid w:val="00DD47FD"/>
    <w:rsid w:val="00DD4F6D"/>
    <w:rsid w:val="00DF5448"/>
    <w:rsid w:val="00DF7FCD"/>
    <w:rsid w:val="00E0208C"/>
    <w:rsid w:val="00E12BA2"/>
    <w:rsid w:val="00E15E05"/>
    <w:rsid w:val="00E257CB"/>
    <w:rsid w:val="00E35913"/>
    <w:rsid w:val="00E4554C"/>
    <w:rsid w:val="00E46DCD"/>
    <w:rsid w:val="00E608BA"/>
    <w:rsid w:val="00E71140"/>
    <w:rsid w:val="00E756A8"/>
    <w:rsid w:val="00E8178F"/>
    <w:rsid w:val="00E825C7"/>
    <w:rsid w:val="00E9459E"/>
    <w:rsid w:val="00EA016C"/>
    <w:rsid w:val="00EC6EF1"/>
    <w:rsid w:val="00EC77C5"/>
    <w:rsid w:val="00EF0018"/>
    <w:rsid w:val="00EF4D66"/>
    <w:rsid w:val="00F02317"/>
    <w:rsid w:val="00F10DFF"/>
    <w:rsid w:val="00F24D82"/>
    <w:rsid w:val="00F33891"/>
    <w:rsid w:val="00F533A3"/>
    <w:rsid w:val="00F615E3"/>
    <w:rsid w:val="00F6235B"/>
    <w:rsid w:val="00F62CAB"/>
    <w:rsid w:val="00F67EB1"/>
    <w:rsid w:val="00F75F4E"/>
    <w:rsid w:val="00F846D2"/>
    <w:rsid w:val="00F90BFB"/>
    <w:rsid w:val="00F90E05"/>
    <w:rsid w:val="00F91F5B"/>
    <w:rsid w:val="00F9281A"/>
    <w:rsid w:val="00F93047"/>
    <w:rsid w:val="00FB5967"/>
    <w:rsid w:val="00FC0AB1"/>
    <w:rsid w:val="00FC3194"/>
    <w:rsid w:val="00FD0B21"/>
    <w:rsid w:val="00FE53F1"/>
    <w:rsid w:val="00FF5893"/>
    <w:rsid w:val="00FF76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77610"/>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1531C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531CD"/>
  </w:style>
  <w:style w:type="paragraph" w:styleId="Alatunniste">
    <w:name w:val="footer"/>
    <w:basedOn w:val="Normaali"/>
    <w:link w:val="AlatunnisteChar"/>
    <w:uiPriority w:val="99"/>
    <w:unhideWhenUsed/>
    <w:rsid w:val="001531C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31CD"/>
  </w:style>
  <w:style w:type="paragraph" w:customStyle="1" w:styleId="Ingressi">
    <w:name w:val="Ingressi"/>
    <w:basedOn w:val="Normaali"/>
    <w:link w:val="IngressiChar"/>
    <w:qFormat/>
    <w:rsid w:val="001531CD"/>
    <w:pPr>
      <w:spacing w:before="240"/>
    </w:pPr>
    <w:rPr>
      <w:b/>
      <w:sz w:val="18"/>
    </w:rPr>
  </w:style>
  <w:style w:type="character" w:customStyle="1" w:styleId="IngressiChar">
    <w:name w:val="Ingressi Char"/>
    <w:basedOn w:val="Kappaleenoletusfontti"/>
    <w:link w:val="Ingressi"/>
    <w:rsid w:val="001531CD"/>
    <w:rPr>
      <w:b/>
      <w:sz w:val="18"/>
    </w:rPr>
  </w:style>
  <w:style w:type="paragraph" w:styleId="Sisluet1">
    <w:name w:val="toc 1"/>
    <w:basedOn w:val="Normaali"/>
    <w:next w:val="Normaali"/>
    <w:autoRedefine/>
    <w:uiPriority w:val="39"/>
    <w:unhideWhenUsed/>
    <w:rsid w:val="00E257CB"/>
    <w:pPr>
      <w:spacing w:after="100"/>
    </w:pPr>
  </w:style>
  <w:style w:type="character" w:styleId="Hyperlinkki">
    <w:name w:val="Hyperlink"/>
    <w:basedOn w:val="Kappaleenoletusfontti"/>
    <w:uiPriority w:val="99"/>
    <w:unhideWhenUsed/>
    <w:rsid w:val="00E257CB"/>
    <w:rPr>
      <w:color w:val="0563C1" w:themeColor="hyperlink"/>
      <w:u w:val="single"/>
    </w:rPr>
  </w:style>
  <w:style w:type="paragraph" w:styleId="Kuvaotsikko">
    <w:name w:val="caption"/>
    <w:basedOn w:val="Normaali"/>
    <w:next w:val="Normaali"/>
    <w:uiPriority w:val="35"/>
    <w:unhideWhenUsed/>
    <w:qFormat/>
    <w:rsid w:val="00E257C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2222</Words>
  <Characters>18000</Characters>
  <Application>Microsoft Office Word</Application>
  <DocSecurity>0</DocSecurity>
  <Lines>150</Lines>
  <Paragraphs>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51</cp:revision>
  <dcterms:created xsi:type="dcterms:W3CDTF">2016-12-15T15:24:00Z</dcterms:created>
  <dcterms:modified xsi:type="dcterms:W3CDTF">2017-07-21T13:10:00Z</dcterms:modified>
</cp:coreProperties>
</file>